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F20A" w14:textId="77777777" w:rsidR="00461CB7" w:rsidRPr="009D2144" w:rsidRDefault="00506172" w:rsidP="00461C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pacing w:val="-2"/>
          <w:sz w:val="28"/>
          <w:szCs w:val="28"/>
          <w:lang w:val="de-DE"/>
        </w:rPr>
      </w:pPr>
      <w:r w:rsidRPr="009D2144">
        <w:rPr>
          <w:rFonts w:ascii="Times New Roman" w:hAnsi="Times New Roman" w:cs="Times New Roman"/>
          <w:b/>
          <w:iCs/>
          <w:color w:val="000000" w:themeColor="text1"/>
          <w:spacing w:val="-2"/>
          <w:sz w:val="28"/>
          <w:szCs w:val="28"/>
          <w:lang w:val="de-DE"/>
        </w:rPr>
        <w:t xml:space="preserve">DANH MỤC BIỂU MẪU CHẾ ĐỘ BÁO CÁO THỐNG KÊ NGÀNH NỘI VỤ </w:t>
      </w:r>
    </w:p>
    <w:p w14:paraId="02A26FD5" w14:textId="77777777" w:rsidR="00506172" w:rsidRPr="009D2144" w:rsidRDefault="00506172" w:rsidP="0050617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9D2144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de-DE"/>
        </w:rPr>
        <w:t xml:space="preserve">THEO </w:t>
      </w:r>
      <w:r w:rsidRPr="009D2144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THÔNG TƯ SỐ 02/2023/TT-BNV</w:t>
      </w:r>
    </w:p>
    <w:p w14:paraId="2CA8FE25" w14:textId="50DB7F8B" w:rsidR="00506172" w:rsidRPr="009D2144" w:rsidRDefault="00506172" w:rsidP="003C502B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</w:pPr>
      <w:r w:rsidRPr="009D214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(Kèm theo Công văn số     </w:t>
      </w:r>
      <w:r w:rsidR="00816841" w:rsidRPr="009D214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 </w:t>
      </w:r>
      <w:r w:rsidRPr="009D214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  /SNV</w:t>
      </w:r>
      <w:r w:rsidR="009F142D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-TCCC</w:t>
      </w:r>
      <w:r w:rsidRPr="009D214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ngày   tháng 11 năm 202</w:t>
      </w:r>
      <w:r w:rsidR="00CB19EA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4</w:t>
      </w:r>
      <w:r w:rsidRPr="009D214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 xml:space="preserve"> của Sở Nội vụ)</w:t>
      </w:r>
    </w:p>
    <w:tbl>
      <w:tblPr>
        <w:tblW w:w="5353" w:type="pct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495"/>
        <w:gridCol w:w="2907"/>
        <w:gridCol w:w="3745"/>
        <w:gridCol w:w="2493"/>
        <w:gridCol w:w="2272"/>
        <w:gridCol w:w="797"/>
        <w:gridCol w:w="2459"/>
      </w:tblGrid>
      <w:tr w:rsidR="000F5D47" w:rsidRPr="009D2144" w14:paraId="2164E047" w14:textId="77777777" w:rsidTr="003C502B">
        <w:trPr>
          <w:trHeight w:val="50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9B05" w14:textId="77777777" w:rsidR="000F5D47" w:rsidRPr="009D2144" w:rsidRDefault="000F5D47" w:rsidP="00871A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TT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0DE4" w14:textId="77777777" w:rsidR="000F5D47" w:rsidRPr="009D2144" w:rsidRDefault="000F5D47" w:rsidP="009E09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kiệu</w:t>
            </w:r>
            <w:proofErr w:type="spellEnd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E66D" w14:textId="77777777" w:rsidR="000F5D47" w:rsidRPr="009D2144" w:rsidRDefault="000F5D47" w:rsidP="00871A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D484" w14:textId="77777777" w:rsidR="000F5D47" w:rsidRDefault="000F5D47" w:rsidP="006A65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ơn</w:t>
            </w:r>
            <w:proofErr w:type="spellEnd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C528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449B9B" w14:textId="77777777" w:rsidR="000F5D47" w:rsidRDefault="000F5D47" w:rsidP="006A65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hợ</w:t>
            </w:r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  <w:proofErr w:type="spellEnd"/>
          </w:p>
          <w:p w14:paraId="32124002" w14:textId="77777777" w:rsidR="000F5D47" w:rsidRPr="00C52880" w:rsidRDefault="000F5D47" w:rsidP="006A65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5722" w14:textId="77777777" w:rsidR="000F5D47" w:rsidRDefault="000F5D47" w:rsidP="006A65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74FD" w14:textId="77777777" w:rsidR="000F5D47" w:rsidRPr="009D2144" w:rsidRDefault="000F5D47" w:rsidP="00A9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EC40" w14:textId="77777777" w:rsidR="000F5D47" w:rsidRPr="009D2144" w:rsidRDefault="000F5D47" w:rsidP="00A9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gửi</w:t>
            </w:r>
            <w:proofErr w:type="spellEnd"/>
          </w:p>
          <w:p w14:paraId="4A510620" w14:textId="77777777" w:rsidR="000F5D47" w:rsidRPr="009D2144" w:rsidRDefault="000F5D47" w:rsidP="00A90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cáo</w:t>
            </w:r>
            <w:proofErr w:type="spellEnd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33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</w:tr>
      <w:tr w:rsidR="008A5BFD" w:rsidRPr="009D2144" w14:paraId="344CA9B2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D7CA" w14:textId="77777777" w:rsidR="008A5BFD" w:rsidRPr="008407EA" w:rsidRDefault="008A5BFD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2B9C" w14:textId="77777777" w:rsidR="008A5BFD" w:rsidRPr="008407EA" w:rsidRDefault="008A5BFD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0203.N/BNV-CBCCVC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E799" w14:textId="77777777" w:rsidR="008A5BFD" w:rsidRPr="008407EA" w:rsidRDefault="008A5BFD" w:rsidP="00B30F17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trở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AFF3" w14:textId="77777777" w:rsidR="008A5BFD" w:rsidRPr="002C2AE0" w:rsidRDefault="00492064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 w:rsidR="004410E7"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7462C5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FCF2D" w14:textId="77777777" w:rsidR="008A5BFD" w:rsidRPr="006E4760" w:rsidRDefault="008A5BFD" w:rsidP="006E4760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BB947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C105" w14:textId="77777777" w:rsidR="008A5BFD" w:rsidRPr="008407EA" w:rsidRDefault="008A5BFD" w:rsidP="002944F3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</w:t>
            </w:r>
            <w:r w:rsidR="002944F3">
              <w:rPr>
                <w:rFonts w:ascii="Times" w:hAnsi="Times" w:cs="Times"/>
                <w:color w:val="000000" w:themeColor="text1"/>
                <w:sz w:val="24"/>
                <w:szCs w:val="24"/>
              </w:rPr>
              <w:t>/12</w:t>
            </w:r>
          </w:p>
        </w:tc>
      </w:tr>
      <w:tr w:rsidR="008A5BFD" w:rsidRPr="009427E3" w14:paraId="74A67933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D313" w14:textId="77777777" w:rsidR="008A5BFD" w:rsidRPr="008407EA" w:rsidRDefault="008A5BFD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6FB3" w14:textId="77777777" w:rsidR="008A5BFD" w:rsidRPr="008407EA" w:rsidRDefault="008A5BFD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0206a.N/BNV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D9CD" w14:textId="77777777" w:rsidR="008A5BFD" w:rsidRPr="008407EA" w:rsidRDefault="008A5BFD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7B05" w14:textId="77777777" w:rsidR="008A5BFD" w:rsidRPr="002C2AE0" w:rsidRDefault="00492064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37DE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43AC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F96C" w14:textId="77777777" w:rsidR="008A5BFD" w:rsidRPr="008407EA" w:rsidRDefault="002944F3" w:rsidP="008A5BFD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8A5BFD" w:rsidRPr="009D2144" w14:paraId="32397DAC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98FB" w14:textId="77777777" w:rsidR="008A5BFD" w:rsidRPr="008407EA" w:rsidRDefault="008A5BFD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ADF9" w14:textId="77777777" w:rsidR="008A5BFD" w:rsidRPr="008407EA" w:rsidRDefault="008A5BFD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0206b.N/BNV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0CAA" w14:textId="77777777" w:rsidR="008A5BFD" w:rsidRPr="008407EA" w:rsidRDefault="008A5BFD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khoa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khoa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thao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du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9C1E" w14:textId="77777777" w:rsidR="008A5BFD" w:rsidRPr="002C2AE0" w:rsidRDefault="007462C5" w:rsidP="00A845FB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 w:rsidR="004410E7"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  <w:r w:rsidR="00121EF0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F3E1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D56E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BBCDF" w14:textId="77777777" w:rsidR="008A5BFD" w:rsidRPr="008407EA" w:rsidRDefault="002944F3" w:rsidP="008A5BFD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8A5BFD" w:rsidRPr="009427E3" w14:paraId="7B5B0147" w14:textId="77777777" w:rsidTr="003C502B">
        <w:trPr>
          <w:trHeight w:val="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EDF9" w14:textId="77777777" w:rsidR="008A5BFD" w:rsidRPr="008407EA" w:rsidRDefault="008A5BFD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607" w14:textId="77777777" w:rsidR="008A5BFD" w:rsidRPr="008407EA" w:rsidRDefault="008A5BFD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0207b.N/BNV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2BF4" w14:textId="77777777" w:rsidR="008A5BFD" w:rsidRPr="008407EA" w:rsidRDefault="008A5BFD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E837" w14:textId="77777777" w:rsidR="008A5BFD" w:rsidRPr="002C2AE0" w:rsidRDefault="00492064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 w:rsidR="004410E7"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="00A53AF3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3AF3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7462C5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3EC8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25FE" w14:textId="77777777" w:rsidR="008A5BFD" w:rsidRPr="008407EA" w:rsidRDefault="008A5BFD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68FA" w14:textId="77777777" w:rsidR="008A5BFD" w:rsidRPr="008407EA" w:rsidRDefault="002944F3" w:rsidP="008A5BFD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763C9100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056A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A0D4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0207c.N/BNV - 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BF75" w14:textId="77777777" w:rsidR="002944F3" w:rsidRPr="008407EA" w:rsidRDefault="002944F3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A833" w14:textId="77777777" w:rsidR="002944F3" w:rsidRPr="002C2AE0" w:rsidRDefault="002944F3" w:rsidP="00A845FB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64F2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8F80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F772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723BED96" w14:textId="77777777" w:rsidTr="003C502B">
        <w:trPr>
          <w:trHeight w:val="2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9CDF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D1D5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0208b.N/BNV-CBCCVC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A269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kỷ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5B4E" w14:textId="77777777" w:rsidR="002944F3" w:rsidRPr="002C2AE0" w:rsidRDefault="002944F3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8BE9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5BE9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D38F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08B2A11C" w14:textId="77777777" w:rsidTr="003C502B">
        <w:trPr>
          <w:trHeight w:val="40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8F21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8D5F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0208c.N/BNV-CBCCVC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720A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kỷ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F347" w14:textId="77777777" w:rsidR="002944F3" w:rsidRPr="002C2AE0" w:rsidRDefault="002944F3" w:rsidP="00A845FB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832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21FE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E039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0155EA1A" w14:textId="77777777" w:rsidTr="003C502B">
        <w:trPr>
          <w:trHeight w:val="65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5DB4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9483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0209a.N/BNV-CBCCVC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426E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trở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bồi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dưỡng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2B75" w14:textId="77777777" w:rsidR="002944F3" w:rsidRPr="002C2AE0" w:rsidRDefault="002944F3" w:rsidP="006A375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6A3757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1BDF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F0DD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0043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233F0054" w14:textId="77777777" w:rsidTr="003C502B">
        <w:trPr>
          <w:trHeight w:val="60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A02A" w14:textId="77777777" w:rsidR="002944F3" w:rsidRPr="008407EA" w:rsidRDefault="002944F3" w:rsidP="00366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585A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0209c.N/BNV-CBCCVC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6BFB" w14:textId="77777777" w:rsidR="002944F3" w:rsidRPr="008407EA" w:rsidRDefault="002944F3" w:rsidP="00B30F17">
            <w:pPr>
              <w:widowControl w:val="0"/>
              <w:spacing w:after="0" w:line="240" w:lineRule="auto"/>
              <w:ind w:left="13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bồi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</w:p>
          <w:p w14:paraId="405C5C9E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dưỡng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9EA79" w14:textId="77777777" w:rsidR="002944F3" w:rsidRPr="002C2AE0" w:rsidRDefault="002944F3" w:rsidP="00A845FB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EBF7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2B90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FC11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17A7262D" w14:textId="77777777" w:rsidTr="003C502B">
        <w:trPr>
          <w:trHeight w:val="55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5C93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46DF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0209d.N/BNV-CBCCVC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C030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bồi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dưỡng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ở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CFD9" w14:textId="77777777" w:rsidR="002944F3" w:rsidRPr="002C2AE0" w:rsidRDefault="002944F3" w:rsidP="00A845FB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8C93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CDF4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C85B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144E91EC" w14:textId="77777777" w:rsidTr="003C502B">
        <w:trPr>
          <w:trHeight w:val="39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3B08" w14:textId="77777777" w:rsidR="002944F3" w:rsidRPr="008407EA" w:rsidRDefault="002944F3" w:rsidP="00366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5B9A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0501.N/BNV-HTCPCP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F78B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phi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phủ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5CBF" w14:textId="77777777" w:rsidR="002944F3" w:rsidRPr="00045859" w:rsidRDefault="002944F3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UBND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EFA4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41C5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D838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14F789D7" w14:textId="77777777" w:rsidTr="003C502B">
        <w:trPr>
          <w:trHeight w:val="427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B957" w14:textId="77777777" w:rsidR="002944F3" w:rsidRPr="008407EA" w:rsidRDefault="002944F3" w:rsidP="00047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17B2" w14:textId="77777777" w:rsidR="002944F3" w:rsidRPr="008407EA" w:rsidRDefault="002944F3" w:rsidP="008407EA">
            <w:pPr>
              <w:widowControl w:val="0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0502.N/BNV- HTCPCP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E061" w14:textId="77777777" w:rsidR="002944F3" w:rsidRPr="008407EA" w:rsidRDefault="002944F3" w:rsidP="00B30F17">
            <w:pPr>
              <w:widowControl w:val="0"/>
              <w:spacing w:after="0" w:line="240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quỹ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quỹ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C57A" w14:textId="77777777" w:rsidR="002944F3" w:rsidRPr="00045859" w:rsidRDefault="002944F3" w:rsidP="00B30F17">
            <w:pPr>
              <w:widowControl w:val="0"/>
              <w:spacing w:after="0" w:line="240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UBND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9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A3CC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B815" w14:textId="77777777" w:rsidR="002944F3" w:rsidRPr="008407EA" w:rsidRDefault="002944F3" w:rsidP="000B4B45">
            <w:pPr>
              <w:widowControl w:val="0"/>
              <w:spacing w:after="0" w:line="240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B17C" w14:textId="77777777" w:rsidR="002944F3" w:rsidRPr="008407EA" w:rsidRDefault="002944F3" w:rsidP="00B61921">
            <w:pPr>
              <w:widowControl w:val="0"/>
              <w:spacing w:after="0" w:line="240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27493B65" w14:textId="77777777" w:rsidTr="003C502B">
        <w:trPr>
          <w:trHeight w:val="6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284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7678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01TH.N/BNV-CBCCVC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82E1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trở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CECE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58E1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7161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4E35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3DCB4167" w14:textId="77777777" w:rsidTr="003C502B">
        <w:trPr>
          <w:trHeight w:val="6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5A26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016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03aTH.N/BNV-CBCCVC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6C06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ngũ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E637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A31F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BF9F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E4B1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13999106" w14:textId="77777777" w:rsidTr="003C502B">
        <w:trPr>
          <w:trHeight w:val="87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E3DC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47CA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03bTH.N/BNV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D432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ngũ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khoa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khoa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thao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4466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  <w:r w:rsidR="006A3757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ECC5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53B1A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1FE6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4EE554EE" w14:textId="77777777" w:rsidTr="003C502B">
        <w:trPr>
          <w:trHeight w:val="6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5E30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0418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04TH.N/BNV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F073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tiền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trở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3C8C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6A3757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BFB9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CF3C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FF07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79CF7D02" w14:textId="77777777" w:rsidTr="003C502B">
        <w:trPr>
          <w:trHeight w:val="357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20CD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395B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06TH.N/BNV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2C95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tiền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FF68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6A3757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2A3A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BDB3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5292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6C6B8117" w14:textId="77777777" w:rsidTr="003C502B">
        <w:trPr>
          <w:trHeight w:val="6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AAFE" w14:textId="77777777" w:rsidR="002944F3" w:rsidRPr="008407EA" w:rsidRDefault="002944F3" w:rsidP="000655CF">
            <w:pPr>
              <w:widowControl w:val="0"/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9016" w14:textId="77777777" w:rsidR="002944F3" w:rsidRPr="008407EA" w:rsidRDefault="002944F3" w:rsidP="000655CF">
            <w:pPr>
              <w:widowControl w:val="0"/>
              <w:spacing w:after="0" w:line="340" w:lineRule="exact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08TH.N/BNV -TCBC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9694" w14:textId="77777777" w:rsidR="002944F3" w:rsidRPr="008407EA" w:rsidRDefault="002944F3" w:rsidP="000655CF">
            <w:pPr>
              <w:widowControl w:val="0"/>
              <w:spacing w:after="0" w:line="340" w:lineRule="exact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6588" w14:textId="77777777" w:rsidR="002944F3" w:rsidRPr="002C2AE0" w:rsidRDefault="002944F3" w:rsidP="000655CF">
            <w:pPr>
              <w:widowControl w:val="0"/>
              <w:spacing w:after="0" w:line="340" w:lineRule="exact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1455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D986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9895" w14:textId="77777777" w:rsidR="002944F3" w:rsidRPr="008407EA" w:rsidRDefault="002944F3" w:rsidP="000655CF">
            <w:pPr>
              <w:widowControl w:val="0"/>
              <w:spacing w:after="0" w:line="340" w:lineRule="exact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729A5B1C" w14:textId="77777777" w:rsidTr="003C502B">
        <w:trPr>
          <w:trHeight w:val="35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3DF2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7104" w14:textId="77777777" w:rsidR="002944F3" w:rsidRPr="008407EA" w:rsidRDefault="002944F3" w:rsidP="000655CF">
            <w:pPr>
              <w:widowControl w:val="0"/>
              <w:spacing w:after="0" w:line="235" w:lineRule="auto"/>
              <w:ind w:left="1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0101.N/BNV -TCHC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62EC" w14:textId="77777777" w:rsidR="002944F3" w:rsidRPr="008407EA" w:rsidRDefault="002944F3" w:rsidP="000655CF">
            <w:pPr>
              <w:widowControl w:val="0"/>
              <w:spacing w:after="0" w:line="235" w:lineRule="auto"/>
              <w:ind w:left="1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C19D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819F" w14:textId="77777777" w:rsidR="002944F3" w:rsidRPr="00533E32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8595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7048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522DC6BE" w14:textId="77777777" w:rsidTr="003C502B">
        <w:trPr>
          <w:trHeight w:val="40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4306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0EC7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0103.N/BNV-TCHC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BAB8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thôn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dân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D0D4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2066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9231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30EC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4B81EC0C" w14:textId="77777777" w:rsidTr="003C502B">
        <w:trPr>
          <w:trHeight w:val="447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4E46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B8CF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0204a.N/BNV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ADD2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3C36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C53F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F5B9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B35D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2F26830E" w14:textId="77777777" w:rsidTr="003C502B">
        <w:trPr>
          <w:trHeight w:val="65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6C76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DE7B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0204b.N/BNV - 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F8F0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EA60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40E4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2066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E463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5E83DD27" w14:textId="77777777" w:rsidTr="003C502B">
        <w:trPr>
          <w:trHeight w:val="58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88CC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FCB5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0209b.N/BNV-CBCCVC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9CAD" w14:textId="77777777" w:rsidR="002944F3" w:rsidRPr="008407EA" w:rsidRDefault="002944F3" w:rsidP="000655CF">
            <w:pPr>
              <w:widowControl w:val="0"/>
              <w:spacing w:after="0" w:line="235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bồi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dưỡng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4210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0F8B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2D03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C1BB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71534E77" w14:textId="77777777" w:rsidTr="003C502B">
        <w:trPr>
          <w:trHeight w:val="51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002E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A47A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02TH.N/BNV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A5E6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50A2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15DF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B645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5FFE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74DE4C49" w14:textId="77777777" w:rsidTr="003C502B">
        <w:trPr>
          <w:trHeight w:val="73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181A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7470" w14:textId="77777777" w:rsidR="002944F3" w:rsidRPr="008407EA" w:rsidRDefault="002944F3" w:rsidP="000655CF">
            <w:pPr>
              <w:widowControl w:val="0"/>
              <w:spacing w:after="0" w:line="235" w:lineRule="auto"/>
              <w:ind w:left="11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05TH.N/BNV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C21B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Báo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cáo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tiền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6258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052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186D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D0E1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427E3" w14:paraId="540FAC1F" w14:textId="77777777" w:rsidTr="003C502B">
        <w:trPr>
          <w:trHeight w:val="65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72CD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D3B4" w14:textId="77777777" w:rsidR="002944F3" w:rsidRPr="008407EA" w:rsidRDefault="002944F3" w:rsidP="000655CF">
            <w:pPr>
              <w:widowControl w:val="0"/>
              <w:spacing w:after="0" w:line="235" w:lineRule="auto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10TH.N/BNV -CQĐP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60D5" w14:textId="77777777" w:rsidR="002944F3" w:rsidRPr="008407EA" w:rsidRDefault="002944F3" w:rsidP="000655CF">
            <w:pPr>
              <w:widowControl w:val="0"/>
              <w:spacing w:after="0" w:line="235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86F2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DB43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822A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6384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0850E628" w14:textId="77777777" w:rsidTr="003C502B">
        <w:trPr>
          <w:trHeight w:val="66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140C" w14:textId="77777777" w:rsidR="002944F3" w:rsidRPr="008407EA" w:rsidRDefault="002944F3" w:rsidP="000655CF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1B0D" w14:textId="77777777" w:rsidR="002944F3" w:rsidRPr="008407EA" w:rsidRDefault="002944F3" w:rsidP="000655CF">
            <w:pPr>
              <w:widowControl w:val="0"/>
              <w:spacing w:after="0" w:line="235" w:lineRule="auto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11TH.N/BNV -CQĐP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A3F3" w14:textId="77777777" w:rsidR="002944F3" w:rsidRPr="008407EA" w:rsidRDefault="002944F3" w:rsidP="000655CF">
            <w:pPr>
              <w:widowControl w:val="0"/>
              <w:spacing w:after="0" w:line="235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dôi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dư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7EA">
              <w:rPr>
                <w:rFonts w:ascii="Times" w:hAnsi="Times" w:cs="Times"/>
                <w:color w:val="000000" w:themeColor="text1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A693" w14:textId="77777777" w:rsidR="002944F3" w:rsidRPr="002C2AE0" w:rsidRDefault="002944F3" w:rsidP="000655CF">
            <w:pPr>
              <w:widowControl w:val="0"/>
              <w:spacing w:after="0" w:line="235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34A2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25E3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32D6" w14:textId="77777777" w:rsidR="002944F3" w:rsidRPr="008407EA" w:rsidRDefault="002944F3" w:rsidP="000655CF">
            <w:pPr>
              <w:widowControl w:val="0"/>
              <w:spacing w:after="0" w:line="235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67F07996" w14:textId="77777777" w:rsidTr="003C502B">
        <w:trPr>
          <w:trHeight w:val="44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38AB" w14:textId="77777777" w:rsidR="002944F3" w:rsidRPr="00172B3A" w:rsidRDefault="002944F3" w:rsidP="000655C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AB13" w14:textId="77777777" w:rsidR="002944F3" w:rsidRPr="00172B3A" w:rsidRDefault="002944F3" w:rsidP="000655CF">
            <w:pPr>
              <w:widowControl w:val="0"/>
              <w:spacing w:after="0" w:line="252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0201.K/BNV-CBCCVC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BF28" w14:textId="77777777" w:rsidR="002944F3" w:rsidRPr="00172B3A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57C5" w14:textId="77777777" w:rsidR="002944F3" w:rsidRPr="00172B3A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EC52" w14:textId="77777777" w:rsidR="002944F3" w:rsidRPr="00172B3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D1C3" w14:textId="77777777" w:rsidR="002944F3" w:rsidRPr="00172B3A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172B3A"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2D15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04079713" w14:textId="77777777" w:rsidTr="003C502B">
        <w:trPr>
          <w:trHeight w:val="5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C2F" w14:textId="77777777" w:rsidR="002944F3" w:rsidRPr="002E7D1F" w:rsidRDefault="002944F3" w:rsidP="000655C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4EA3" w14:textId="77777777" w:rsidR="002944F3" w:rsidRPr="002E7D1F" w:rsidRDefault="002944F3" w:rsidP="000655CF">
            <w:pPr>
              <w:widowControl w:val="0"/>
              <w:spacing w:after="0" w:line="252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0102b.N/BNV-TCHC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9975" w14:textId="77777777" w:rsidR="002944F3" w:rsidRPr="002E7D1F" w:rsidRDefault="002944F3" w:rsidP="000655CF">
            <w:pPr>
              <w:widowControl w:val="0"/>
              <w:spacing w:after="0" w:line="252" w:lineRule="auto"/>
              <w:ind w:left="120" w:right="106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ở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F9F7" w14:textId="77777777" w:rsidR="002944F3" w:rsidRPr="002C2AE0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581D" w14:textId="77777777" w:rsidR="002944F3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7ABF3323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C76B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1788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5C6EE2D1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5F23" w14:textId="77777777" w:rsidR="002944F3" w:rsidRPr="002E7D1F" w:rsidRDefault="002944F3" w:rsidP="000655C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9423" w14:textId="77777777" w:rsidR="002944F3" w:rsidRPr="002E7D1F" w:rsidRDefault="002944F3" w:rsidP="000655CF">
            <w:pPr>
              <w:widowControl w:val="0"/>
              <w:spacing w:after="0" w:line="252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0202b.N/BNV-CBCCVC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8D510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9232" w14:textId="77777777" w:rsidR="002944F3" w:rsidRPr="002C2AE0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314C" w14:textId="77777777" w:rsidR="002944F3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47432619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5FBA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49D2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6A1491F3" w14:textId="77777777" w:rsidTr="003C502B">
        <w:trPr>
          <w:trHeight w:val="4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4A7D" w14:textId="77777777" w:rsidR="002944F3" w:rsidRPr="002E7D1F" w:rsidRDefault="002944F3" w:rsidP="000655C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59BB" w14:textId="77777777" w:rsidR="002944F3" w:rsidRPr="002E7D1F" w:rsidRDefault="002944F3" w:rsidP="000655CF">
            <w:pPr>
              <w:widowControl w:val="0"/>
              <w:spacing w:after="0" w:line="252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0205b.N/BNV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16E1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Thu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nhập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bình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quân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7534" w14:textId="77777777" w:rsidR="002944F3" w:rsidRPr="002C2AE0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1FF7" w14:textId="77777777" w:rsidR="002944F3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523AF290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621E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F0A4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3F21687F" w14:textId="77777777" w:rsidTr="003C502B">
        <w:trPr>
          <w:trHeight w:val="20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1755" w14:textId="77777777" w:rsidR="002944F3" w:rsidRPr="002E7D1F" w:rsidRDefault="002944F3" w:rsidP="000655C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DB9C" w14:textId="77777777" w:rsidR="002944F3" w:rsidRPr="002E7D1F" w:rsidRDefault="002944F3" w:rsidP="000655CF">
            <w:pPr>
              <w:widowControl w:val="0"/>
              <w:spacing w:after="0" w:line="252" w:lineRule="auto"/>
              <w:ind w:lef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0207a.N/BNV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F7AB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28AB" w14:textId="77777777" w:rsidR="002944F3" w:rsidRPr="002C2AE0" w:rsidRDefault="002944F3" w:rsidP="000655CF">
            <w:pPr>
              <w:widowControl w:val="0"/>
              <w:spacing w:after="0" w:line="252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2840" w14:textId="77777777" w:rsidR="002944F3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3333EA1B" w14:textId="77777777" w:rsidR="002944F3" w:rsidRPr="002E7D1F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D2E4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60CE" w14:textId="77777777" w:rsidR="002944F3" w:rsidRPr="008407EA" w:rsidRDefault="002944F3" w:rsidP="000655CF">
            <w:pPr>
              <w:widowControl w:val="0"/>
              <w:spacing w:after="0" w:line="252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7CB43281" w14:textId="77777777" w:rsidTr="003C502B">
        <w:trPr>
          <w:trHeight w:val="45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A9AC" w14:textId="77777777" w:rsidR="002944F3" w:rsidRPr="002E7D1F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2E03" w14:textId="77777777" w:rsidR="002944F3" w:rsidRPr="002E7D1F" w:rsidRDefault="002944F3" w:rsidP="000655CF">
            <w:pPr>
              <w:widowControl w:val="0"/>
              <w:spacing w:after="0" w:line="233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0208a.N/BNV -CBCCVC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ECBF" w14:textId="77777777" w:rsidR="002944F3" w:rsidRPr="002E7D1F" w:rsidRDefault="002944F3" w:rsidP="000655CF">
            <w:pPr>
              <w:widowControl w:val="0"/>
              <w:spacing w:after="0" w:line="233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cán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kỷ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5C6A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2041" w14:textId="77777777" w:rsidR="002944F3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31883DF9" w14:textId="77777777" w:rsidR="002944F3" w:rsidRPr="002E7D1F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438F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B770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414D9E03" w14:textId="77777777" w:rsidTr="003C502B">
        <w:trPr>
          <w:trHeight w:val="58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7181" w14:textId="77777777" w:rsidR="002944F3" w:rsidRPr="002E7D1F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3869" w14:textId="77777777" w:rsidR="002944F3" w:rsidRPr="002E7D1F" w:rsidRDefault="002944F3" w:rsidP="000655CF">
            <w:pPr>
              <w:widowControl w:val="0"/>
              <w:spacing w:after="0" w:line="233" w:lineRule="auto"/>
              <w:ind w:left="114" w:right="43" w:firstLine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0213b.N/BNV-QG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BFC1" w14:textId="77777777" w:rsidR="002944F3" w:rsidRPr="002E7D1F" w:rsidRDefault="002944F3" w:rsidP="000655CF">
            <w:pPr>
              <w:widowControl w:val="0"/>
              <w:spacing w:after="0" w:line="233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Tỷ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chốt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1E04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48A9" w14:textId="77777777" w:rsidR="002944F3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4A3640A1" w14:textId="77777777" w:rsidR="002944F3" w:rsidRPr="002E7D1F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3409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050E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2E7D1F" w14:paraId="05896637" w14:textId="77777777" w:rsidTr="003C502B">
        <w:trPr>
          <w:trHeight w:val="62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AE35" w14:textId="77777777" w:rsidR="002944F3" w:rsidRPr="002E7D1F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0E47" w14:textId="77777777" w:rsidR="002944F3" w:rsidRPr="002E7D1F" w:rsidRDefault="002944F3" w:rsidP="000655CF">
            <w:pPr>
              <w:widowControl w:val="0"/>
              <w:spacing w:after="0" w:line="233" w:lineRule="auto"/>
              <w:ind w:left="1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09TH.N/BNV -TCBC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B0A0" w14:textId="77777777" w:rsidR="002944F3" w:rsidRPr="002E7D1F" w:rsidRDefault="002944F3" w:rsidP="000655CF">
            <w:pPr>
              <w:widowControl w:val="0"/>
              <w:spacing w:after="0" w:line="233" w:lineRule="auto"/>
              <w:ind w:left="114" w:right="43" w:firstLine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tinh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giản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7D1F">
              <w:rPr>
                <w:rFonts w:ascii="Times" w:hAnsi="Times" w:cs="Times"/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ED79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, ban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UBND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="00A845FB"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  <w:r w:rsidR="00A845FB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24D5" w14:textId="77777777" w:rsidR="002944F3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iên</w:t>
            </w:r>
            <w:proofErr w:type="spellEnd"/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6E47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hức</w:t>
            </w:r>
            <w:proofErr w:type="spellEnd"/>
          </w:p>
          <w:p w14:paraId="1ABBCC1C" w14:textId="77777777" w:rsidR="002944F3" w:rsidRPr="002E7D1F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dựng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01A6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0EFA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12/12</w:t>
            </w:r>
          </w:p>
        </w:tc>
      </w:tr>
      <w:tr w:rsidR="002944F3" w:rsidRPr="009D2144" w14:paraId="32D6AFB4" w14:textId="77777777" w:rsidTr="003C502B">
        <w:trPr>
          <w:trHeight w:val="58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6586" w14:textId="6314FD22" w:rsidR="002944F3" w:rsidRPr="00E65EE1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BED6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0401.N/BNV -HTQT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0D02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đoàn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khảo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sát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94C378" w14:textId="77777777" w:rsidR="002944F3" w:rsidRPr="002C2AE0" w:rsidRDefault="002944F3" w:rsidP="000655CF">
            <w:pPr>
              <w:widowControl w:val="0"/>
              <w:spacing w:after="0" w:line="233" w:lineRule="auto"/>
              <w:jc w:val="both"/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cấp</w:t>
            </w:r>
            <w:proofErr w:type="spellEnd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9FD9" w14:textId="77777777" w:rsidR="002944F3" w:rsidRPr="00533E32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05B9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6564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</w:t>
            </w:r>
            <w:r w:rsidR="00AF1BC4">
              <w:rPr>
                <w:rFonts w:ascii="Times" w:hAnsi="Times" w:cs="Times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/</w:t>
            </w:r>
            <w:r w:rsidR="00AF1BC4">
              <w:rPr>
                <w:rFonts w:ascii="Times" w:hAnsi="Times" w:cs="Times"/>
                <w:color w:val="000000" w:themeColor="text1"/>
                <w:sz w:val="24"/>
                <w:szCs w:val="24"/>
              </w:rPr>
              <w:t>01</w:t>
            </w:r>
            <w:r w:rsidR="00F33F2D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3F2D"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 w:rsidR="00F33F2D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3F2D"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17599ECD" w14:textId="77777777" w:rsidTr="003C502B">
        <w:trPr>
          <w:trHeight w:val="58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6853" w14:textId="1FF02D24" w:rsidR="002944F3" w:rsidRPr="00E65EE1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337C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0402.N/BNV-HTQT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F549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đoàn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khảo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sát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thiệu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Việt  Nam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A7D82B" w14:textId="77777777" w:rsidR="002944F3" w:rsidRPr="002C2AE0" w:rsidRDefault="002944F3" w:rsidP="000655CF">
            <w:pPr>
              <w:widowControl w:val="0"/>
              <w:spacing w:after="0" w:line="233" w:lineRule="auto"/>
              <w:jc w:val="both"/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cấp</w:t>
            </w:r>
            <w:proofErr w:type="spellEnd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E3FB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DF7D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86F0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2BB24233" w14:textId="77777777" w:rsidTr="003C502B">
        <w:trPr>
          <w:trHeight w:val="4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CA61" w14:textId="0BD92865" w:rsidR="002944F3" w:rsidRPr="009B03C3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D603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0801.N/BNV-VTLT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04B6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4588DE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- Văn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phòng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ĐĐBQH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và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HĐND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;</w:t>
            </w:r>
          </w:p>
          <w:p w14:paraId="3BA082D1" w14:textId="77777777" w:rsidR="002944F3" w:rsidRPr="002C2AE0" w:rsidRDefault="002944F3" w:rsidP="000655CF">
            <w:pPr>
              <w:widowControl w:val="0"/>
              <w:spacing w:before="40" w:after="40" w:line="240" w:lineRule="auto"/>
              <w:jc w:val="both"/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- 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10"/>
                <w:sz w:val="24"/>
                <w:szCs w:val="24"/>
              </w:rPr>
              <w:t xml:space="preserve">; </w:t>
            </w:r>
          </w:p>
          <w:p w14:paraId="17C7616C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</w:p>
          <w:p w14:paraId="56F12960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- 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Trung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ương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dọc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bàn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</w:p>
          <w:p w14:paraId="7CCD2A1A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- Doanh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nhà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nước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do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Chủ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tịch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thành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lập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6"/>
                <w:sz w:val="24"/>
                <w:szCs w:val="24"/>
              </w:rPr>
              <w:t>;</w:t>
            </w:r>
          </w:p>
          <w:p w14:paraId="65D52CAA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- 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</w:p>
          <w:p w14:paraId="3E1F7476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- 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ban,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QLNN;</w:t>
            </w:r>
          </w:p>
          <w:p w14:paraId="57C3B2A0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- Các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cơ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quan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tổ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chức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huyện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nguồn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nộp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lưu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vào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Lưu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trữ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lịch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sử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tỉnh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09A88336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thuộc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;</w:t>
            </w:r>
          </w:p>
          <w:p w14:paraId="20BE755A" w14:textId="77777777" w:rsidR="002944F3" w:rsidRPr="002C2AE0" w:rsidRDefault="002944F3" w:rsidP="000655CF">
            <w:pPr>
              <w:widowControl w:val="0"/>
              <w:spacing w:after="0" w:line="240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- UBND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2C2AE0">
              <w:rPr>
                <w:rFonts w:ascii="Times" w:hAnsi="Times" w:cs="Time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C327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979D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6A2D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3D4561FB" w14:textId="77777777" w:rsidTr="003C502B">
        <w:trPr>
          <w:trHeight w:val="3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701F" w14:textId="0B889FAD" w:rsidR="002944F3" w:rsidRPr="009B03C3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4E0C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0802.N/BNV-VTLT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F4B4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128F22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DB01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6C11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6C38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0767CB96" w14:textId="77777777" w:rsidTr="003C502B">
        <w:trPr>
          <w:trHeight w:val="43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B885" w14:textId="413E50AD" w:rsidR="002944F3" w:rsidRPr="009B03C3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9B03C3"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9418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0803.N/BNV-VTLT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2507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A63BE3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2BBD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B4F3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9D1A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4FA5D170" w14:textId="77777777" w:rsidTr="003C502B">
        <w:trPr>
          <w:trHeight w:val="49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E481" w14:textId="25E2C0FF" w:rsidR="002944F3" w:rsidRPr="009B03C3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E662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0804.N/BNV-VTLT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F5F3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E93589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7C79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EE2C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DB03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6BDB3968" w14:textId="77777777" w:rsidTr="003C502B">
        <w:trPr>
          <w:trHeight w:val="33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9D3D" w14:textId="76F753F2" w:rsidR="002944F3" w:rsidRPr="009B03C3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080C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0805.N/BNV-VTLT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9ADD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lượng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03D659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C171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CCDD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18B3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16FF61C3" w14:textId="77777777" w:rsidTr="003C502B">
        <w:trPr>
          <w:trHeight w:val="3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3554" w14:textId="3B047E5F" w:rsidR="002944F3" w:rsidRPr="009B03C3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 w:rsidRP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BCBF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0806.N/BNV-VTLT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AE12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EBDBB5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6933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9713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B407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36A54CFB" w14:textId="77777777" w:rsidTr="003C502B">
        <w:trPr>
          <w:trHeight w:val="3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3AEC" w14:textId="210A6E28" w:rsidR="002944F3" w:rsidRPr="00E65EE1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5BB5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0807.N/BNV-VTLT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FEC7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F3F1D5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548A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1C02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4574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359D3930" w14:textId="77777777" w:rsidTr="003C502B">
        <w:trPr>
          <w:trHeight w:val="34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0ADA" w14:textId="7019EA55" w:rsidR="002944F3" w:rsidRPr="00E65EE1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4CF3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0808.N/BNV-VTLT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D494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24047C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CF744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CCF6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CA5E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1E65D3AD" w14:textId="77777777" w:rsidTr="003C502B">
        <w:trPr>
          <w:trHeight w:val="337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B363" w14:textId="7FB80FC9" w:rsidR="002944F3" w:rsidRPr="00E65EE1" w:rsidRDefault="002944F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CBB6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0809.N/BNV-VTLT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CA93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thập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F051DB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FA20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86F9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E722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2BF5A1CF" w14:textId="77777777" w:rsidTr="003C502B">
        <w:trPr>
          <w:trHeight w:val="3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2E6" w14:textId="5D54521A" w:rsidR="002944F3" w:rsidRPr="00E65EE1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DD3C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0810.N/BNV-VTLT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0BCD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đưa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51C2D6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C8640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1E7D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880F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406F9C83" w14:textId="77777777" w:rsidTr="003C502B">
        <w:trPr>
          <w:trHeight w:val="42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4D81" w14:textId="45F30FDD" w:rsidR="002944F3" w:rsidRPr="008A000C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1664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0811.N/BNV-VTLT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F3F1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kho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dùng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011089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2326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384D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D775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2944F3" w:rsidRPr="009D2144" w14:paraId="11CE5B7B" w14:textId="77777777" w:rsidTr="003C502B">
        <w:trPr>
          <w:trHeight w:val="45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34EB" w14:textId="7F602E3B" w:rsidR="002944F3" w:rsidRPr="008A000C" w:rsidRDefault="009B03C3" w:rsidP="000655C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E15B" w14:textId="77777777" w:rsidR="002944F3" w:rsidRPr="009D2144" w:rsidRDefault="002944F3" w:rsidP="000655CF">
            <w:pPr>
              <w:widowControl w:val="0"/>
              <w:spacing w:after="0" w:line="233" w:lineRule="auto"/>
              <w:ind w:left="119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0812.N/BNV-VTLT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2C8F" w14:textId="77777777" w:rsidR="002944F3" w:rsidRPr="009D2144" w:rsidRDefault="002944F3" w:rsidP="000655CF">
            <w:pPr>
              <w:widowControl w:val="0"/>
              <w:spacing w:after="0" w:line="233" w:lineRule="auto"/>
              <w:ind w:left="120" w:right="44" w:hanging="3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Kinh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2144">
              <w:rPr>
                <w:rFonts w:ascii="Times" w:hAnsi="Times" w:cs="Times"/>
                <w:color w:val="000000" w:themeColor="text1"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2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553E" w14:textId="77777777" w:rsidR="002944F3" w:rsidRPr="002C2AE0" w:rsidRDefault="002944F3" w:rsidP="000655CF">
            <w:pPr>
              <w:widowControl w:val="0"/>
              <w:spacing w:after="0" w:line="233" w:lineRule="auto"/>
              <w:ind w:left="122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2FED" w14:textId="77777777" w:rsidR="002944F3" w:rsidRPr="009D2144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Văn </w:t>
            </w:r>
            <w:proofErr w:type="spellStart"/>
            <w:r w:rsidRPr="005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4914" w14:textId="77777777" w:rsidR="002944F3" w:rsidRPr="008407EA" w:rsidRDefault="002944F3" w:rsidP="000655CF">
            <w:pPr>
              <w:widowControl w:val="0"/>
              <w:spacing w:after="0" w:line="233" w:lineRule="auto"/>
              <w:ind w:left="122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3DA9" w14:textId="77777777" w:rsidR="002944F3" w:rsidRPr="008407EA" w:rsidRDefault="00F33F2D" w:rsidP="000655CF">
            <w:pPr>
              <w:widowControl w:val="0"/>
              <w:spacing w:after="0" w:line="233" w:lineRule="auto"/>
              <w:ind w:left="1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15/01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năm</w:t>
            </w:r>
            <w:proofErr w:type="spellEnd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</w:tbl>
    <w:p w14:paraId="61C90CE6" w14:textId="77777777" w:rsidR="00E77631" w:rsidRPr="000655CF" w:rsidRDefault="00E77631" w:rsidP="005F5E8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12"/>
          <w:szCs w:val="12"/>
          <w:lang w:val="de-DE"/>
        </w:rPr>
      </w:pPr>
    </w:p>
    <w:p w14:paraId="2F3E915B" w14:textId="2D7FA09F" w:rsidR="005E11D8" w:rsidRPr="009D2144" w:rsidRDefault="00AD4F2B" w:rsidP="009B03C3">
      <w:pPr>
        <w:widowControl w:val="0"/>
        <w:spacing w:after="0" w:line="235" w:lineRule="auto"/>
        <w:ind w:left="-426" w:right="-782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</w:pPr>
      <w:r w:rsidRPr="00055CF0">
        <w:rPr>
          <w:rFonts w:ascii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  <w:lang w:val="de-DE"/>
        </w:rPr>
        <w:t>Ghi chú</w:t>
      </w:r>
      <w:r w:rsidRPr="00015C1A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de-DE"/>
        </w:rPr>
        <w:t>:</w:t>
      </w:r>
      <w:r w:rsidRPr="00015C1A">
        <w:rPr>
          <w:rFonts w:ascii="Times" w:hAnsi="Times" w:cs="Times"/>
          <w:color w:val="000000" w:themeColor="text1"/>
          <w:sz w:val="24"/>
          <w:szCs w:val="24"/>
          <w:lang w:val="de-DE"/>
        </w:rPr>
        <w:t xml:space="preserve"> Từ Biểu mẫu 0801.N/BNV-VTLT đến biểu mẫu 0812.N/BNV-VTLT</w:t>
      </w:r>
      <w:r w:rsidR="005F5E83" w:rsidRPr="00015C1A">
        <w:rPr>
          <w:rFonts w:ascii="Times" w:hAnsi="Times" w:cs="Times"/>
          <w:color w:val="000000" w:themeColor="text1"/>
          <w:sz w:val="24"/>
          <w:szCs w:val="24"/>
          <w:lang w:val="de-DE"/>
        </w:rPr>
        <w:t>: Các sở, ban, ngành tổng hợp số liệu của các đơn vị trực thuộc theo Quyết định số 2544/QĐ-UBND ngày 26/10/2023 của Chủ tịch UBND tỉnh về việc ban hành Danh mục các cơ quan, tổ chức thuộc nguồn nộp lưu tài liệu vào Lưu trữ lịch sử tỉnh; Các cơ quan Trung ương được tổ chức, hoạt động theo ngành dọc ở cấp tỉnh tổng hợp số liệu của các cơ quan Trung ương được tổ chức, hoạt động theo ngành dọc ở cấp huyện; UBND cấp huyện tổng hợp số liệu của các cơ quan, đơn vị cấp huyện (trừ cơ quan Trung ương được tổ chức, hoạt động theo ngành dọc ở cấp huyện) và UBND cấp xã</w:t>
      </w:r>
      <w:r w:rsidR="003C502B">
        <w:rPr>
          <w:rFonts w:ascii="Times" w:hAnsi="Times" w:cs="Times"/>
          <w:color w:val="000000" w:themeColor="text1"/>
          <w:sz w:val="24"/>
          <w:szCs w:val="24"/>
          <w:lang w:val="de-DE"/>
        </w:rPr>
        <w:t>.</w:t>
      </w:r>
    </w:p>
    <w:sectPr w:rsidR="005E11D8" w:rsidRPr="009D2144" w:rsidSect="003C502B">
      <w:headerReference w:type="default" r:id="rId7"/>
      <w:pgSz w:w="16840" w:h="11907" w:orient="landscape" w:code="9"/>
      <w:pgMar w:top="709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E257" w14:textId="77777777" w:rsidR="00CC797B" w:rsidRDefault="00CC797B" w:rsidP="006D3026">
      <w:pPr>
        <w:spacing w:after="0" w:line="240" w:lineRule="auto"/>
      </w:pPr>
      <w:r>
        <w:separator/>
      </w:r>
    </w:p>
  </w:endnote>
  <w:endnote w:type="continuationSeparator" w:id="0">
    <w:p w14:paraId="60F1FBA7" w14:textId="77777777" w:rsidR="00CC797B" w:rsidRDefault="00CC797B" w:rsidP="006D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DF49" w14:textId="77777777" w:rsidR="00CC797B" w:rsidRDefault="00CC797B" w:rsidP="006D3026">
      <w:pPr>
        <w:spacing w:after="0" w:line="240" w:lineRule="auto"/>
      </w:pPr>
      <w:r>
        <w:separator/>
      </w:r>
    </w:p>
  </w:footnote>
  <w:footnote w:type="continuationSeparator" w:id="0">
    <w:p w14:paraId="09A50ED0" w14:textId="77777777" w:rsidR="00CC797B" w:rsidRDefault="00CC797B" w:rsidP="006D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932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6B7800" w14:textId="77777777" w:rsidR="00045859" w:rsidRPr="006D3026" w:rsidRDefault="0004585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30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0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30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F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D30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9E788D8" w14:textId="77777777" w:rsidR="00045859" w:rsidRDefault="0004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3751"/>
    <w:multiLevelType w:val="hybridMultilevel"/>
    <w:tmpl w:val="CD46727E"/>
    <w:lvl w:ilvl="0" w:tplc="C120849C">
      <w:numFmt w:val="bullet"/>
      <w:lvlText w:val="-"/>
      <w:lvlJc w:val="left"/>
      <w:pPr>
        <w:ind w:left="482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47E39E3"/>
    <w:multiLevelType w:val="multilevel"/>
    <w:tmpl w:val="CC4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711505">
    <w:abstractNumId w:val="1"/>
  </w:num>
  <w:num w:numId="2" w16cid:durableId="166192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2"/>
    <w:rsid w:val="00003A99"/>
    <w:rsid w:val="00015C1A"/>
    <w:rsid w:val="0003256F"/>
    <w:rsid w:val="00036348"/>
    <w:rsid w:val="00045859"/>
    <w:rsid w:val="000459C7"/>
    <w:rsid w:val="00047E01"/>
    <w:rsid w:val="00055CF0"/>
    <w:rsid w:val="000655CF"/>
    <w:rsid w:val="00096DC8"/>
    <w:rsid w:val="000B4B45"/>
    <w:rsid w:val="000B62BC"/>
    <w:rsid w:val="000F5D47"/>
    <w:rsid w:val="001214F0"/>
    <w:rsid w:val="00121EF0"/>
    <w:rsid w:val="00163F7F"/>
    <w:rsid w:val="00172B3A"/>
    <w:rsid w:val="001E5490"/>
    <w:rsid w:val="0023242F"/>
    <w:rsid w:val="002374F3"/>
    <w:rsid w:val="00245C4A"/>
    <w:rsid w:val="00274724"/>
    <w:rsid w:val="002944F3"/>
    <w:rsid w:val="002B33BC"/>
    <w:rsid w:val="002C2AE0"/>
    <w:rsid w:val="002D3EE5"/>
    <w:rsid w:val="002E7D1F"/>
    <w:rsid w:val="003350C8"/>
    <w:rsid w:val="00343642"/>
    <w:rsid w:val="0035683F"/>
    <w:rsid w:val="00366F1C"/>
    <w:rsid w:val="00380E43"/>
    <w:rsid w:val="003842BE"/>
    <w:rsid w:val="00384380"/>
    <w:rsid w:val="003A4872"/>
    <w:rsid w:val="003C00E0"/>
    <w:rsid w:val="003C502B"/>
    <w:rsid w:val="003E4185"/>
    <w:rsid w:val="00412DB4"/>
    <w:rsid w:val="0042189F"/>
    <w:rsid w:val="00430D48"/>
    <w:rsid w:val="004410E7"/>
    <w:rsid w:val="00441910"/>
    <w:rsid w:val="00461CB7"/>
    <w:rsid w:val="00492064"/>
    <w:rsid w:val="00495DD0"/>
    <w:rsid w:val="004A5592"/>
    <w:rsid w:val="004B625B"/>
    <w:rsid w:val="004C3D71"/>
    <w:rsid w:val="004E4485"/>
    <w:rsid w:val="004F4ED8"/>
    <w:rsid w:val="00506172"/>
    <w:rsid w:val="00517955"/>
    <w:rsid w:val="00533E32"/>
    <w:rsid w:val="005A4E4F"/>
    <w:rsid w:val="005E11D8"/>
    <w:rsid w:val="005E6B5E"/>
    <w:rsid w:val="005F17C9"/>
    <w:rsid w:val="005F5E83"/>
    <w:rsid w:val="0060495B"/>
    <w:rsid w:val="00615142"/>
    <w:rsid w:val="006164CA"/>
    <w:rsid w:val="00677629"/>
    <w:rsid w:val="006833D7"/>
    <w:rsid w:val="006A3757"/>
    <w:rsid w:val="006A598D"/>
    <w:rsid w:val="006D3026"/>
    <w:rsid w:val="006E2B81"/>
    <w:rsid w:val="006E4760"/>
    <w:rsid w:val="006E660B"/>
    <w:rsid w:val="00714517"/>
    <w:rsid w:val="007462C5"/>
    <w:rsid w:val="007A5D72"/>
    <w:rsid w:val="007C49AF"/>
    <w:rsid w:val="007D2920"/>
    <w:rsid w:val="007E5ED0"/>
    <w:rsid w:val="00800838"/>
    <w:rsid w:val="00816841"/>
    <w:rsid w:val="00820C91"/>
    <w:rsid w:val="00836292"/>
    <w:rsid w:val="008407EA"/>
    <w:rsid w:val="00855BD5"/>
    <w:rsid w:val="00871AA4"/>
    <w:rsid w:val="00890E52"/>
    <w:rsid w:val="008A000C"/>
    <w:rsid w:val="008A5BFD"/>
    <w:rsid w:val="008F02FC"/>
    <w:rsid w:val="00916B67"/>
    <w:rsid w:val="009427E3"/>
    <w:rsid w:val="00953679"/>
    <w:rsid w:val="009A0EB9"/>
    <w:rsid w:val="009A4EC2"/>
    <w:rsid w:val="009B03C3"/>
    <w:rsid w:val="009C540C"/>
    <w:rsid w:val="009C77C1"/>
    <w:rsid w:val="009D2144"/>
    <w:rsid w:val="009E0918"/>
    <w:rsid w:val="009E5825"/>
    <w:rsid w:val="009F142D"/>
    <w:rsid w:val="00A20C5B"/>
    <w:rsid w:val="00A3025A"/>
    <w:rsid w:val="00A53AF3"/>
    <w:rsid w:val="00A664EA"/>
    <w:rsid w:val="00A845FB"/>
    <w:rsid w:val="00A9022B"/>
    <w:rsid w:val="00AB4A2C"/>
    <w:rsid w:val="00AD4F2B"/>
    <w:rsid w:val="00AF1BC4"/>
    <w:rsid w:val="00B30F17"/>
    <w:rsid w:val="00B456B2"/>
    <w:rsid w:val="00B51E40"/>
    <w:rsid w:val="00B530FD"/>
    <w:rsid w:val="00B677FE"/>
    <w:rsid w:val="00B858D5"/>
    <w:rsid w:val="00BE5B8F"/>
    <w:rsid w:val="00C655DD"/>
    <w:rsid w:val="00C65702"/>
    <w:rsid w:val="00CB19EA"/>
    <w:rsid w:val="00CC2474"/>
    <w:rsid w:val="00CC797B"/>
    <w:rsid w:val="00CE42D1"/>
    <w:rsid w:val="00CE7274"/>
    <w:rsid w:val="00D20CAA"/>
    <w:rsid w:val="00D25DFE"/>
    <w:rsid w:val="00D264B4"/>
    <w:rsid w:val="00D334BF"/>
    <w:rsid w:val="00D43FB6"/>
    <w:rsid w:val="00D4611D"/>
    <w:rsid w:val="00D52919"/>
    <w:rsid w:val="00D56E29"/>
    <w:rsid w:val="00D616D6"/>
    <w:rsid w:val="00DB7499"/>
    <w:rsid w:val="00E03C57"/>
    <w:rsid w:val="00E11816"/>
    <w:rsid w:val="00E40FA4"/>
    <w:rsid w:val="00E41A0C"/>
    <w:rsid w:val="00E47EF1"/>
    <w:rsid w:val="00E53C30"/>
    <w:rsid w:val="00E65EE1"/>
    <w:rsid w:val="00E77631"/>
    <w:rsid w:val="00E86612"/>
    <w:rsid w:val="00E9015A"/>
    <w:rsid w:val="00E903C2"/>
    <w:rsid w:val="00EA4E18"/>
    <w:rsid w:val="00EB195A"/>
    <w:rsid w:val="00F15FC4"/>
    <w:rsid w:val="00F25364"/>
    <w:rsid w:val="00F33F2D"/>
    <w:rsid w:val="00F42ECB"/>
    <w:rsid w:val="00F54629"/>
    <w:rsid w:val="00F6616F"/>
    <w:rsid w:val="00FA7B4C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1D80"/>
  <w15:docId w15:val="{8932922C-6016-46AA-BE95-6C7DE39D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B67"/>
    <w:rPr>
      <w:color w:val="0000FF"/>
      <w:u w:val="single"/>
    </w:rPr>
  </w:style>
  <w:style w:type="character" w:customStyle="1" w:styleId="d-none">
    <w:name w:val="d-none"/>
    <w:basedOn w:val="DefaultParagraphFont"/>
    <w:rsid w:val="00916B67"/>
  </w:style>
  <w:style w:type="paragraph" w:customStyle="1" w:styleId="fwb">
    <w:name w:val="fwb"/>
    <w:basedOn w:val="Normal"/>
    <w:rsid w:val="009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c">
    <w:name w:val="tac"/>
    <w:basedOn w:val="Normal"/>
    <w:rsid w:val="009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26"/>
  </w:style>
  <w:style w:type="paragraph" w:styleId="Footer">
    <w:name w:val="footer"/>
    <w:basedOn w:val="Normal"/>
    <w:link w:val="FooterChar"/>
    <w:uiPriority w:val="99"/>
    <w:unhideWhenUsed/>
    <w:rsid w:val="006D3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26"/>
  </w:style>
  <w:style w:type="paragraph" w:styleId="ListParagraph">
    <w:name w:val="List Paragraph"/>
    <w:basedOn w:val="Normal"/>
    <w:uiPriority w:val="34"/>
    <w:qFormat/>
    <w:rsid w:val="00B5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48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1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29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58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9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70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41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199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1499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2023-11-21T03:56:00Z</cp:lastPrinted>
  <dcterms:created xsi:type="dcterms:W3CDTF">2023-11-21T01:24:00Z</dcterms:created>
  <dcterms:modified xsi:type="dcterms:W3CDTF">2024-11-25T03:50:00Z</dcterms:modified>
</cp:coreProperties>
</file>