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3FAA" w14:textId="77777777" w:rsidR="00756E30" w:rsidRDefault="00756E30" w:rsidP="00984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pacing w:val="-2"/>
          <w:sz w:val="28"/>
          <w:szCs w:val="28"/>
          <w:lang w:val="de-DE"/>
        </w:rPr>
      </w:pPr>
    </w:p>
    <w:p w14:paraId="4D40F548" w14:textId="77777777" w:rsidR="009842DB" w:rsidRPr="007C0D4C" w:rsidRDefault="009842DB" w:rsidP="00984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pacing w:val="-2"/>
          <w:sz w:val="28"/>
          <w:szCs w:val="28"/>
          <w:lang w:val="de-DE"/>
        </w:rPr>
      </w:pPr>
      <w:r w:rsidRPr="007C0D4C">
        <w:rPr>
          <w:rFonts w:ascii="Times New Roman" w:hAnsi="Times New Roman" w:cs="Times New Roman"/>
          <w:b/>
          <w:iCs/>
          <w:color w:val="000000" w:themeColor="text1"/>
          <w:spacing w:val="-2"/>
          <w:sz w:val="28"/>
          <w:szCs w:val="28"/>
          <w:lang w:val="de-DE"/>
        </w:rPr>
        <w:t xml:space="preserve">DANH MỤC BIỂU MẪU CHẾ ĐỘ BÁO CÁO THỐNG KÊ NGÀNH NỘI VỤ </w:t>
      </w:r>
    </w:p>
    <w:p w14:paraId="500E9C4E" w14:textId="77777777" w:rsidR="009842DB" w:rsidRPr="007C0D4C" w:rsidRDefault="009842DB" w:rsidP="009842D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</w:pPr>
      <w:r w:rsidRPr="007C0D4C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  <w:lang w:val="de-DE"/>
        </w:rPr>
        <w:t xml:space="preserve">THEO </w:t>
      </w:r>
      <w:r w:rsidRPr="007C0D4C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THÔNG TƯ SỐ 07/2021/TT-BNV</w:t>
      </w:r>
    </w:p>
    <w:p w14:paraId="5B8F2B4F" w14:textId="0350515E" w:rsidR="009842DB" w:rsidRPr="007C0D4C" w:rsidRDefault="009842DB" w:rsidP="009842DB">
      <w:pPr>
        <w:widowControl w:val="0"/>
        <w:spacing w:before="12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</w:pPr>
      <w:r w:rsidRPr="007C0D4C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 xml:space="preserve">(Kèm theo Công văn số   </w:t>
      </w:r>
      <w:r w:rsidR="00737727" w:rsidRPr="007C0D4C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 xml:space="preserve">    </w:t>
      </w:r>
      <w:r w:rsidR="009E5FBD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 xml:space="preserve">      /</w:t>
      </w:r>
      <w:r w:rsidRPr="007C0D4C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>SNV</w:t>
      </w:r>
      <w:r w:rsidR="009E5FBD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>-TCCC</w:t>
      </w:r>
      <w:r w:rsidRPr="007C0D4C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 xml:space="preserve"> ngày   </w:t>
      </w:r>
      <w:r w:rsidR="009E5FBD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 xml:space="preserve"> </w:t>
      </w:r>
      <w:r w:rsidRPr="007C0D4C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>tháng 11 năm 202</w:t>
      </w:r>
      <w:r w:rsidR="006E45E3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>4</w:t>
      </w:r>
      <w:r w:rsidRPr="007C0D4C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 xml:space="preserve"> của Sở Nội vụ)</w:t>
      </w:r>
    </w:p>
    <w:tbl>
      <w:tblPr>
        <w:tblW w:w="5367" w:type="pct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</w:tblCellMar>
        <w:tblLook w:val="04A0" w:firstRow="1" w:lastRow="0" w:firstColumn="1" w:lastColumn="0" w:noHBand="0" w:noVBand="1"/>
      </w:tblPr>
      <w:tblGrid>
        <w:gridCol w:w="612"/>
        <w:gridCol w:w="3546"/>
        <w:gridCol w:w="4065"/>
        <w:gridCol w:w="2835"/>
        <w:gridCol w:w="1984"/>
        <w:gridCol w:w="2165"/>
      </w:tblGrid>
      <w:tr w:rsidR="003859F1" w:rsidRPr="007C0D4C" w14:paraId="1666AFB8" w14:textId="77777777" w:rsidTr="0059740C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60C6" w14:textId="77777777" w:rsidR="003859F1" w:rsidRPr="007C0D4C" w:rsidRDefault="003859F1" w:rsidP="00210D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TT 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6550F" w14:textId="77777777" w:rsidR="003859F1" w:rsidRPr="007C0D4C" w:rsidRDefault="003859F1" w:rsidP="000920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lục</w:t>
            </w:r>
            <w:proofErr w:type="spellEnd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0513" w14:textId="77777777" w:rsidR="003859F1" w:rsidRPr="007C0D4C" w:rsidRDefault="003859F1" w:rsidP="00B309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Báo </w:t>
            </w:r>
            <w:proofErr w:type="spellStart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B17F1" w14:textId="109F016F" w:rsidR="003859F1" w:rsidRDefault="003859F1" w:rsidP="00F53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</w:t>
            </w:r>
            <w:r w:rsidRPr="00C528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ơn</w:t>
            </w:r>
            <w:proofErr w:type="spellEnd"/>
            <w:r w:rsidRPr="00C528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C528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EBF1F3A" w14:textId="77777777" w:rsidR="003859F1" w:rsidRDefault="003859F1" w:rsidP="00AA1A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211A7EE" w14:textId="7A834212" w:rsidR="003859F1" w:rsidRPr="00C52880" w:rsidRDefault="003859F1" w:rsidP="00AA1A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433C" w14:textId="6F163609" w:rsidR="003859F1" w:rsidRDefault="003859F1" w:rsidP="00F53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ban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8A60A" w14:textId="35C2AEF1" w:rsidR="003859F1" w:rsidRPr="007C0D4C" w:rsidRDefault="003859F1" w:rsidP="004E66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07B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A07B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7B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A07B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7B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hời</w:t>
            </w:r>
            <w:proofErr w:type="spellEnd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gửi</w:t>
            </w:r>
            <w:proofErr w:type="spellEnd"/>
            <w:r w:rsidRPr="007C0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vụ</w:t>
            </w:r>
            <w:proofErr w:type="spellEnd"/>
          </w:p>
        </w:tc>
      </w:tr>
      <w:tr w:rsidR="003859F1" w:rsidRPr="007C0D4C" w14:paraId="0FADC211" w14:textId="77777777" w:rsidTr="0059740C">
        <w:trPr>
          <w:trHeight w:val="454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D066" w14:textId="77777777" w:rsidR="003859F1" w:rsidRPr="007C0D4C" w:rsidRDefault="003859F1" w:rsidP="00184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ADFD9" w14:textId="77777777" w:rsidR="003859F1" w:rsidRPr="007C0D4C" w:rsidRDefault="003859F1" w:rsidP="0009208E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7F58" w14:textId="77777777" w:rsidR="003859F1" w:rsidRPr="007C0D4C" w:rsidRDefault="003859F1" w:rsidP="008F4835">
            <w:pPr>
              <w:widowControl w:val="0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421F2" w14:textId="1529D4EF" w:rsidR="003859F1" w:rsidRPr="00C52880" w:rsidRDefault="003859F1" w:rsidP="00C52880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ban,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="00B01D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01D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705A0" w14:textId="23506F40" w:rsidR="003859F1" w:rsidRPr="007C0D4C" w:rsidRDefault="003859F1" w:rsidP="00AA1AC8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ban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F775" w14:textId="77777777" w:rsidR="003859F1" w:rsidRPr="00432EB9" w:rsidRDefault="003859F1" w:rsidP="00432E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20AD242A" w14:textId="77777777" w:rsidR="003859F1" w:rsidRPr="00432EB9" w:rsidRDefault="003859F1" w:rsidP="00432E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12/12;</w:t>
            </w:r>
          </w:p>
          <w:p w14:paraId="33278F35" w14:textId="71149BAA" w:rsidR="003859F1" w:rsidRPr="007C0D4C" w:rsidRDefault="003859F1" w:rsidP="00A07B0A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5A387814" w14:textId="77777777" w:rsidTr="00D41AD5">
        <w:trPr>
          <w:trHeight w:val="12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C98A" w14:textId="77777777" w:rsidR="003859F1" w:rsidRPr="007C0D4C" w:rsidRDefault="003859F1" w:rsidP="00184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71ED" w14:textId="77777777" w:rsidR="003859F1" w:rsidRPr="007C0D4C" w:rsidRDefault="003859F1" w:rsidP="0009208E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lục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IA, IB, IIA, IIB, IIIA, IIIB (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62/2020/NĐ-CP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01/6/2020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4CD0" w14:textId="77777777" w:rsidR="003859F1" w:rsidRPr="007C0D4C" w:rsidRDefault="003859F1" w:rsidP="00B0128A">
            <w:pPr>
              <w:widowControl w:val="0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BED9" w14:textId="0B28F88D" w:rsidR="003859F1" w:rsidRPr="00C52880" w:rsidRDefault="003859F1" w:rsidP="00C52880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A6B44" w14:textId="77777777" w:rsidR="003859F1" w:rsidRPr="007C0D4C" w:rsidRDefault="003859F1" w:rsidP="00184E35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87F6" w14:textId="77777777" w:rsidR="003859F1" w:rsidRPr="00432EB9" w:rsidRDefault="003859F1" w:rsidP="00432E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005BBB98" w14:textId="4B914E71" w:rsidR="003859F1" w:rsidRPr="00D41AD5" w:rsidRDefault="003859F1" w:rsidP="00D41A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12/12;</w:t>
            </w:r>
          </w:p>
        </w:tc>
      </w:tr>
      <w:tr w:rsidR="003859F1" w:rsidRPr="007C0D4C" w14:paraId="15F9B536" w14:textId="77777777" w:rsidTr="0059740C">
        <w:trPr>
          <w:trHeight w:val="454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8A82" w14:textId="77777777" w:rsidR="003859F1" w:rsidRPr="007C0D4C" w:rsidRDefault="003859F1" w:rsidP="00184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6D06" w14:textId="77777777" w:rsidR="003859F1" w:rsidRPr="007C0D4C" w:rsidRDefault="003859F1" w:rsidP="0009208E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lục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IA, IB, IIA, IIB, III, IV  (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106/2020/NĐ CP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10/9/2020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6A2E" w14:textId="77777777" w:rsidR="003859F1" w:rsidRPr="007C0D4C" w:rsidRDefault="003859F1" w:rsidP="00B0128A">
            <w:pPr>
              <w:widowControl w:val="0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28DF" w14:textId="66D9CC15" w:rsidR="003859F1" w:rsidRPr="00C52880" w:rsidRDefault="003859F1" w:rsidP="00C52880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="00B01D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01D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EDBC4" w14:textId="77777777" w:rsidR="003859F1" w:rsidRPr="007C0D4C" w:rsidRDefault="003859F1" w:rsidP="00184E35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C0F1" w14:textId="77777777" w:rsidR="003859F1" w:rsidRPr="00432EB9" w:rsidRDefault="003859F1" w:rsidP="00385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3258B1EC" w14:textId="77777777" w:rsidR="003859F1" w:rsidRPr="00432EB9" w:rsidRDefault="003859F1" w:rsidP="00385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12/12;</w:t>
            </w:r>
          </w:p>
          <w:p w14:paraId="5D2CAD1A" w14:textId="3BC796C1" w:rsidR="003859F1" w:rsidRPr="007C0D4C" w:rsidRDefault="003859F1" w:rsidP="0009208E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0CEF0631" w14:textId="77777777" w:rsidTr="0059740C">
        <w:trPr>
          <w:trHeight w:val="454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F695" w14:textId="1E0135F9" w:rsidR="003859F1" w:rsidRPr="007C0D4C" w:rsidRDefault="00085CA5" w:rsidP="00184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6994" w14:textId="77777777" w:rsidR="003859F1" w:rsidRPr="007C0D4C" w:rsidRDefault="003859F1" w:rsidP="0009208E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Mẫu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02 (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theo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Thông 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tư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08/2013/TT-BNV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ngày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31/7/2013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của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Nội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vụ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)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1621" w14:textId="77777777" w:rsidR="003859F1" w:rsidRPr="007C0D4C" w:rsidRDefault="003859F1" w:rsidP="00B0128A">
            <w:pPr>
              <w:widowControl w:val="0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nâng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lương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đối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với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công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viên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ngạch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chuyên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viên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cao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cấp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và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các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ngạch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danh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tương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đương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ngạch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chuyên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viên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cao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cấp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3AEC7" w14:textId="11121482" w:rsidR="003859F1" w:rsidRPr="00C52880" w:rsidRDefault="003859F1" w:rsidP="00F176AF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01D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="00B01DB6"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="004474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474B7"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EA60" w14:textId="77777777" w:rsidR="003859F1" w:rsidRPr="007C0D4C" w:rsidRDefault="003859F1" w:rsidP="00184E35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E4140" w14:textId="77777777" w:rsidR="003859F1" w:rsidRPr="00432EB9" w:rsidRDefault="003859F1" w:rsidP="00385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184A2C37" w14:textId="77777777" w:rsidR="003859F1" w:rsidRPr="00432EB9" w:rsidRDefault="003859F1" w:rsidP="00385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12/12;</w:t>
            </w:r>
          </w:p>
          <w:p w14:paraId="0E59250C" w14:textId="30648008" w:rsidR="003859F1" w:rsidRPr="007C0D4C" w:rsidRDefault="003859F1" w:rsidP="0009208E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1D11EBD8" w14:textId="77777777" w:rsidTr="0059740C">
        <w:trPr>
          <w:trHeight w:val="454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4E8E" w14:textId="6859E58D" w:rsidR="003859F1" w:rsidRPr="007C0D4C" w:rsidRDefault="00085CA5" w:rsidP="00184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85BD" w14:textId="77777777" w:rsidR="003859F1" w:rsidRPr="007C0D4C" w:rsidRDefault="003859F1" w:rsidP="0009208E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02 (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Thông 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tư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04/2005/TT-BNV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ngày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05/01/2005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của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Nội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vụ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)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6991" w14:textId="77777777" w:rsidR="003859F1" w:rsidRPr="007C0D4C" w:rsidRDefault="003859F1" w:rsidP="002C59B5">
            <w:pPr>
              <w:widowControl w:val="0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thâm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niên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vượt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ngạch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đương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CB93" w14:textId="6BC1511C" w:rsidR="003859F1" w:rsidRPr="00C52880" w:rsidRDefault="003859F1" w:rsidP="00F176AF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="00B01D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01D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474B7"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8F74" w14:textId="77777777" w:rsidR="003859F1" w:rsidRPr="007C0D4C" w:rsidRDefault="003859F1" w:rsidP="00184E35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15E94" w14:textId="77777777" w:rsidR="003859F1" w:rsidRPr="00432EB9" w:rsidRDefault="003859F1" w:rsidP="00385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265626CA" w14:textId="77777777" w:rsidR="003859F1" w:rsidRPr="00432EB9" w:rsidRDefault="003859F1" w:rsidP="00385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12/12;</w:t>
            </w:r>
          </w:p>
          <w:p w14:paraId="45BA7471" w14:textId="1A907A64" w:rsidR="003859F1" w:rsidRPr="007C0D4C" w:rsidRDefault="003859F1" w:rsidP="0009208E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4B6B0244" w14:textId="77777777" w:rsidTr="0059740C">
        <w:trPr>
          <w:trHeight w:val="454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7A4F" w14:textId="2E9356D5" w:rsidR="003859F1" w:rsidRPr="007C0D4C" w:rsidRDefault="00085CA5" w:rsidP="00184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156C" w14:textId="77777777" w:rsidR="003859F1" w:rsidRPr="007C0D4C" w:rsidRDefault="003859F1" w:rsidP="0009208E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lục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I, II, III, IV (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Thông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06/2014/TT-BNV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09/8/2014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dẫn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chế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độ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báo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định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kỳ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hàng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năm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về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hoạt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động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đào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tạo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bồi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dưỡng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công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viên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của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trường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trong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các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cơ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quan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nhà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nước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tổ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chính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trị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tổ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chính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trị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-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xã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hội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lực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lượng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vũ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trang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nhân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dân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)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9937" w14:textId="77777777" w:rsidR="003859F1" w:rsidRPr="007C0D4C" w:rsidRDefault="003859F1" w:rsidP="002C59B5">
            <w:pPr>
              <w:widowControl w:val="0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đào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AA9AD" w14:textId="3B4E31D4" w:rsidR="003859F1" w:rsidRPr="00C52880" w:rsidRDefault="003859F1" w:rsidP="00F176AF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01D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="00B01DB6"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474B7"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0B64" w14:textId="77777777" w:rsidR="003859F1" w:rsidRPr="007C0D4C" w:rsidRDefault="003859F1" w:rsidP="00184E35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23904" w14:textId="77777777" w:rsidR="003859F1" w:rsidRPr="00432EB9" w:rsidRDefault="003859F1" w:rsidP="00385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64721E53" w14:textId="77777777" w:rsidR="003859F1" w:rsidRPr="00432EB9" w:rsidRDefault="003859F1" w:rsidP="00385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12/12;</w:t>
            </w:r>
          </w:p>
          <w:p w14:paraId="2B4D315A" w14:textId="33B40CBF" w:rsidR="003859F1" w:rsidRPr="007C0D4C" w:rsidRDefault="003859F1" w:rsidP="0009208E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7FBA41C1" w14:textId="77777777" w:rsidTr="0059740C">
        <w:trPr>
          <w:trHeight w:val="454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C9DC" w14:textId="1F818703" w:rsidR="003859F1" w:rsidRPr="007C0D4C" w:rsidRDefault="00085CA5" w:rsidP="00184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6F0FD" w14:textId="77777777" w:rsidR="003859F1" w:rsidRPr="007C0D4C" w:rsidRDefault="003859F1" w:rsidP="0009208E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2.17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lục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II (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hông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tư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04/2020/TT-BNV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ngày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13/10/ 2020 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của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Nội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vụ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solid" w:color="FFFFFF" w:fill="FFFFFF"/>
              </w:rPr>
              <w:t>)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DB40" w14:textId="77777777" w:rsidR="003859F1" w:rsidRPr="007C0D4C" w:rsidRDefault="003859F1" w:rsidP="002C59B5">
            <w:pPr>
              <w:widowControl w:val="0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quỹ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E8B6" w14:textId="0AA75C38" w:rsidR="003859F1" w:rsidRPr="00C52880" w:rsidRDefault="003859F1" w:rsidP="00C52880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66C61" w14:textId="77777777" w:rsidR="003859F1" w:rsidRPr="007C0D4C" w:rsidRDefault="003859F1" w:rsidP="00184E35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9409" w14:textId="77777777" w:rsidR="003859F1" w:rsidRPr="00432EB9" w:rsidRDefault="003859F1" w:rsidP="00385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14905284" w14:textId="3DC08CAE" w:rsidR="003859F1" w:rsidRPr="0059740C" w:rsidRDefault="003859F1" w:rsidP="00597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12/12;</w:t>
            </w:r>
          </w:p>
        </w:tc>
      </w:tr>
      <w:tr w:rsidR="003859F1" w:rsidRPr="007C0D4C" w14:paraId="02CA0B74" w14:textId="77777777" w:rsidTr="0059740C">
        <w:trPr>
          <w:trHeight w:val="116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84F9" w14:textId="7C4112EF" w:rsidR="003859F1" w:rsidRPr="007C0D4C" w:rsidRDefault="00085CA5" w:rsidP="00184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F01AC" w14:textId="77777777" w:rsidR="003859F1" w:rsidRPr="007C0D4C" w:rsidRDefault="003859F1" w:rsidP="0009208E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lục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II (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Thông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03/2013/TT-BNV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16/4/2013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0CB0" w14:textId="77777777" w:rsidR="003859F1" w:rsidRPr="007C0D4C" w:rsidRDefault="003859F1" w:rsidP="002C59B5">
            <w:pPr>
              <w:widowControl w:val="0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37050" w14:textId="51899341" w:rsidR="003859F1" w:rsidRPr="00C52880" w:rsidRDefault="003859F1" w:rsidP="00C52880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885A1" w14:textId="77777777" w:rsidR="003859F1" w:rsidRPr="007C0D4C" w:rsidRDefault="003859F1" w:rsidP="00184E35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B17BB" w14:textId="77777777" w:rsidR="003859F1" w:rsidRPr="00432EB9" w:rsidRDefault="003859F1" w:rsidP="00385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432EB9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</w:t>
            </w:r>
            <w:r w:rsidRPr="007C0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1F831504" w14:textId="47CDD065" w:rsidR="003859F1" w:rsidRPr="0059740C" w:rsidRDefault="003859F1" w:rsidP="00597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12/12;</w:t>
            </w:r>
          </w:p>
        </w:tc>
      </w:tr>
      <w:tr w:rsidR="003859F1" w:rsidRPr="007C0D4C" w14:paraId="63BAC02B" w14:textId="77777777" w:rsidTr="0059740C">
        <w:trPr>
          <w:trHeight w:val="318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3396E" w14:textId="74572E7F" w:rsidR="003859F1" w:rsidRPr="008F4835" w:rsidRDefault="006E45E3" w:rsidP="00085C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F1541" w14:textId="77777777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4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2A37" w14:textId="77777777" w:rsidR="003859F1" w:rsidRPr="008F4835" w:rsidRDefault="003859F1" w:rsidP="008F4835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</w:pPr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Báo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quyền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liền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kề</w:t>
            </w:r>
            <w:proofErr w:type="spellEnd"/>
            <w:r w:rsidRPr="008F4835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6463" w14:textId="77777777" w:rsidR="003859F1" w:rsidRPr="00C52880" w:rsidRDefault="003859F1" w:rsidP="00F416CD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EECBA" w14:textId="77777777" w:rsidR="003859F1" w:rsidRPr="007C0D4C" w:rsidRDefault="003859F1" w:rsidP="000E0E6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46089" w14:textId="77777777" w:rsidR="003859F1" w:rsidRPr="00432EB9" w:rsidRDefault="003859F1" w:rsidP="00385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  <w:p w14:paraId="0EF8394C" w14:textId="0069F23B" w:rsidR="003859F1" w:rsidRPr="007C0D4C" w:rsidRDefault="003859F1" w:rsidP="00A07B0A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3EAAF468" w14:textId="77777777" w:rsidTr="0059740C">
        <w:trPr>
          <w:trHeight w:val="318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2E3B" w14:textId="3D646C37" w:rsidR="003859F1" w:rsidRPr="007C0D4C" w:rsidRDefault="003859F1" w:rsidP="00085C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="006E4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94388" w14:textId="77777777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4.1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97CA" w14:textId="77777777" w:rsidR="003859F1" w:rsidRPr="00B97D0D" w:rsidRDefault="003859F1" w:rsidP="002C59B5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 xml:space="preserve">Báo </w:t>
            </w:r>
            <w:proofErr w:type="spellStart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>cáo</w:t>
            </w:r>
            <w:proofErr w:type="spellEnd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>số</w:t>
            </w:r>
            <w:proofErr w:type="spellEnd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>lượng</w:t>
            </w:r>
            <w:proofErr w:type="spellEnd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>chất</w:t>
            </w:r>
            <w:proofErr w:type="spellEnd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>lượng</w:t>
            </w:r>
            <w:proofErr w:type="spellEnd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>thành</w:t>
            </w:r>
            <w:proofErr w:type="spellEnd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>viên</w:t>
            </w:r>
            <w:proofErr w:type="spellEnd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 xml:space="preserve"> UBND </w:t>
            </w:r>
            <w:proofErr w:type="spellStart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>các</w:t>
            </w:r>
            <w:proofErr w:type="spellEnd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>cấp</w:t>
            </w:r>
            <w:proofErr w:type="spellEnd"/>
            <w:r w:rsidRPr="00B97D0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C02FD" w14:textId="77777777" w:rsidR="003859F1" w:rsidRPr="00C52880" w:rsidRDefault="003859F1" w:rsidP="002C59B5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B7F40" w14:textId="77777777" w:rsidR="003859F1" w:rsidRPr="007C0D4C" w:rsidRDefault="003859F1" w:rsidP="0028498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CE71F" w14:textId="77777777" w:rsidR="003859F1" w:rsidRPr="00432EB9" w:rsidRDefault="003859F1" w:rsidP="00B61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  <w:p w14:paraId="1F814E70" w14:textId="7B7E7DBF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1D3C9A86" w14:textId="77777777" w:rsidTr="0059740C">
        <w:trPr>
          <w:trHeight w:val="624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0BD4" w14:textId="7FF10427" w:rsidR="003859F1" w:rsidRPr="007C0D4C" w:rsidRDefault="003859F1" w:rsidP="00085C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E4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99E3" w14:textId="77777777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4.2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D5316" w14:textId="77777777" w:rsidR="003859F1" w:rsidRPr="007C0D4C" w:rsidRDefault="003859F1" w:rsidP="002C59B5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huyện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Thiên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Huế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9409F" w14:textId="77777777" w:rsidR="003859F1" w:rsidRPr="00C52880" w:rsidRDefault="003859F1" w:rsidP="002C59B5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CE22" w14:textId="77777777" w:rsidR="003859F1" w:rsidRPr="007C0D4C" w:rsidRDefault="003859F1" w:rsidP="0028498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523E" w14:textId="77777777" w:rsidR="003859F1" w:rsidRPr="00432EB9" w:rsidRDefault="003859F1" w:rsidP="00B61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  <w:p w14:paraId="02CA12B7" w14:textId="3EAB110F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493F8827" w14:textId="77777777" w:rsidTr="0059740C">
        <w:trPr>
          <w:trHeight w:val="79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C852" w14:textId="1F3BF2C7" w:rsidR="003859F1" w:rsidRPr="007C0D4C" w:rsidRDefault="003859F1" w:rsidP="00085C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E4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1C0C3" w14:textId="77777777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4.3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CE3EA" w14:textId="77777777" w:rsidR="003859F1" w:rsidRPr="007C0D4C" w:rsidRDefault="003859F1" w:rsidP="002C59B5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thôn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trách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ở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thôn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phố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5138" w14:textId="77777777" w:rsidR="003859F1" w:rsidRPr="00C52880" w:rsidRDefault="003859F1" w:rsidP="002C59B5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7036" w14:textId="77777777" w:rsidR="003859F1" w:rsidRPr="007C0D4C" w:rsidRDefault="003859F1" w:rsidP="0028498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09D8" w14:textId="77777777" w:rsidR="003859F1" w:rsidRPr="00432EB9" w:rsidRDefault="003859F1" w:rsidP="00B61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  <w:p w14:paraId="1F2E2B4A" w14:textId="43BA3A4D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327B8DDD" w14:textId="77777777" w:rsidTr="0059740C">
        <w:trPr>
          <w:trHeight w:val="141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2AF1" w14:textId="2237A629" w:rsidR="003859F1" w:rsidRPr="007C0D4C" w:rsidRDefault="003859F1" w:rsidP="00085C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E4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EDBC" w14:textId="57C81F6F" w:rsidR="003859F1" w:rsidRPr="0059740C" w:rsidRDefault="003859F1" w:rsidP="005974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4.4 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1B78" w14:textId="77777777" w:rsidR="003859F1" w:rsidRPr="007C0D4C" w:rsidRDefault="003859F1" w:rsidP="002C59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người</w:t>
            </w:r>
            <w:proofErr w:type="spellEnd"/>
            <w:proofErr w:type="gram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trách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ở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thôn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phố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79B9" w14:textId="77777777" w:rsidR="003859F1" w:rsidRPr="00C52880" w:rsidRDefault="003859F1" w:rsidP="002C59B5">
            <w:pPr>
              <w:widowControl w:val="0"/>
              <w:spacing w:after="0" w:line="240" w:lineRule="auto"/>
              <w:ind w:left="120" w:right="44" w:hanging="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B91B5" w14:textId="77777777" w:rsidR="003859F1" w:rsidRPr="007C0D4C" w:rsidRDefault="003859F1" w:rsidP="0028498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29644" w14:textId="1EE1CED2" w:rsidR="003859F1" w:rsidRPr="0059740C" w:rsidRDefault="003859F1" w:rsidP="00597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</w:tc>
      </w:tr>
      <w:tr w:rsidR="003859F1" w:rsidRPr="007C0D4C" w14:paraId="7807A77C" w14:textId="77777777" w:rsidTr="00D41AD5">
        <w:trPr>
          <w:trHeight w:val="1393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24FC" w14:textId="0A5CBB06" w:rsidR="003859F1" w:rsidRPr="00FA41B8" w:rsidRDefault="003859F1" w:rsidP="00085C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E4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DBF3F" w14:textId="77777777" w:rsidR="003859F1" w:rsidRPr="007C0D4C" w:rsidRDefault="003859F1" w:rsidP="000920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5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BCB6" w14:textId="77777777" w:rsidR="003859F1" w:rsidRPr="00FA41B8" w:rsidRDefault="003859F1" w:rsidP="00FA41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Báo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sách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niên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quản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41B8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niên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A7061" w14:textId="11764C3D" w:rsidR="003859F1" w:rsidRPr="00C52880" w:rsidRDefault="003859F1" w:rsidP="00F176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000B" w14:textId="77777777" w:rsidR="003859F1" w:rsidRPr="007C0D4C" w:rsidRDefault="003859F1" w:rsidP="000E0E6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3B58" w14:textId="36971214" w:rsidR="003859F1" w:rsidRPr="0059740C" w:rsidRDefault="003859F1" w:rsidP="00597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</w:tc>
      </w:tr>
      <w:tr w:rsidR="003859F1" w:rsidRPr="007C0D4C" w14:paraId="24EABCA8" w14:textId="77777777" w:rsidTr="00D41AD5">
        <w:trPr>
          <w:trHeight w:val="131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3E73" w14:textId="11CA0549" w:rsidR="003859F1" w:rsidRPr="007C0D4C" w:rsidRDefault="003859F1" w:rsidP="00085C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E4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5AC1A" w14:textId="77777777" w:rsidR="003859F1" w:rsidRPr="007C0D4C" w:rsidRDefault="003859F1" w:rsidP="000920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5.1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319F" w14:textId="77777777" w:rsidR="003859F1" w:rsidRPr="007C0D4C" w:rsidRDefault="003859F1" w:rsidP="002C59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hút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461E0" w14:textId="3F5C1AF1" w:rsidR="003859F1" w:rsidRPr="00C52880" w:rsidRDefault="003859F1" w:rsidP="00F176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A24B" w14:textId="77777777" w:rsidR="003859F1" w:rsidRPr="007C0D4C" w:rsidRDefault="003859F1" w:rsidP="0028498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31628" w14:textId="77777777" w:rsidR="003859F1" w:rsidRPr="00432EB9" w:rsidRDefault="003859F1" w:rsidP="00B61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  <w:p w14:paraId="790A8DB1" w14:textId="07064A9B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17609D29" w14:textId="77777777" w:rsidTr="0059740C">
        <w:trPr>
          <w:trHeight w:val="5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4E86" w14:textId="4C2D991D" w:rsidR="003859F1" w:rsidRPr="007C0D4C" w:rsidRDefault="003859F1" w:rsidP="00085C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="006E4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54E30" w14:textId="77777777" w:rsidR="003859F1" w:rsidRPr="007C0D4C" w:rsidRDefault="003859F1" w:rsidP="000920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5.2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434E" w14:textId="77777777" w:rsidR="003859F1" w:rsidRPr="007C0D4C" w:rsidRDefault="003859F1" w:rsidP="002C59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hút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3E633" w14:textId="662026D7" w:rsidR="003859F1" w:rsidRPr="00C52880" w:rsidRDefault="003859F1" w:rsidP="00F176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E45B" w14:textId="77777777" w:rsidR="003859F1" w:rsidRPr="007C0D4C" w:rsidRDefault="003859F1" w:rsidP="0028498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B159" w14:textId="77777777" w:rsidR="003859F1" w:rsidRPr="00432EB9" w:rsidRDefault="003859F1" w:rsidP="00B61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  <w:p w14:paraId="128BC711" w14:textId="1768DC14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6D84E0C9" w14:textId="77777777" w:rsidTr="0059740C">
        <w:trPr>
          <w:trHeight w:val="55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FA65" w14:textId="1C5DB882" w:rsidR="003859F1" w:rsidRPr="007C0D4C" w:rsidRDefault="00085CA5" w:rsidP="00184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E4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7DFFE" w14:textId="77777777" w:rsidR="003859F1" w:rsidRPr="007C0D4C" w:rsidRDefault="003859F1" w:rsidP="000920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5.3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CAF3" w14:textId="77777777" w:rsidR="003859F1" w:rsidRPr="007C0D4C" w:rsidRDefault="003859F1" w:rsidP="002C59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hút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7E2E" w14:textId="7580DD9C" w:rsidR="003859F1" w:rsidRPr="00C52880" w:rsidRDefault="003859F1" w:rsidP="00F176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8380" w14:textId="77777777" w:rsidR="003859F1" w:rsidRPr="007C0D4C" w:rsidRDefault="003859F1" w:rsidP="0028498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F78A" w14:textId="77777777" w:rsidR="003859F1" w:rsidRPr="00432EB9" w:rsidRDefault="003859F1" w:rsidP="00B61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  <w:p w14:paraId="0FFCBA54" w14:textId="2CCF9CDC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32EB4269" w14:textId="77777777" w:rsidTr="0059740C">
        <w:trPr>
          <w:trHeight w:val="914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68AC" w14:textId="7F3EA956" w:rsidR="003859F1" w:rsidRPr="007C0D4C" w:rsidRDefault="00085CA5" w:rsidP="00184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E4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C4675" w14:textId="77777777" w:rsidR="003859F1" w:rsidRPr="007C0D4C" w:rsidRDefault="003859F1" w:rsidP="000920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5.4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C447" w14:textId="77777777" w:rsidR="003859F1" w:rsidRPr="007C0D4C" w:rsidRDefault="003859F1" w:rsidP="002C59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hút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tuyền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1C676" w14:textId="04CC178D" w:rsidR="003859F1" w:rsidRPr="00C52880" w:rsidRDefault="003859F1" w:rsidP="00F176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78191" w14:textId="77777777" w:rsidR="003859F1" w:rsidRPr="007C0D4C" w:rsidRDefault="003859F1" w:rsidP="0028498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8E4B4" w14:textId="77777777" w:rsidR="003859F1" w:rsidRPr="00432EB9" w:rsidRDefault="003859F1" w:rsidP="00B61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  <w:p w14:paraId="57715C35" w14:textId="33C177F4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46E17FC0" w14:textId="77777777" w:rsidTr="0059740C">
        <w:trPr>
          <w:trHeight w:val="87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F71DE" w14:textId="7CA4628C" w:rsidR="003859F1" w:rsidRPr="007C0D4C" w:rsidRDefault="006E45E3" w:rsidP="00085C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FFC36" w14:textId="77777777" w:rsidR="003859F1" w:rsidRPr="007C0D4C" w:rsidRDefault="003859F1" w:rsidP="000920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5.5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5DB1" w14:textId="77777777" w:rsidR="003859F1" w:rsidRPr="007C0D4C" w:rsidRDefault="003859F1" w:rsidP="002C59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5FA02" w14:textId="5ABD1734" w:rsidR="003859F1" w:rsidRPr="00C52880" w:rsidRDefault="003859F1" w:rsidP="00F176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0D18" w14:textId="77777777" w:rsidR="003859F1" w:rsidRPr="007C0D4C" w:rsidRDefault="003859F1" w:rsidP="0028498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27E16" w14:textId="77777777" w:rsidR="003859F1" w:rsidRPr="00432EB9" w:rsidRDefault="003859F1" w:rsidP="00B61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  <w:p w14:paraId="477DF9B5" w14:textId="2023AD89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4B598BC3" w14:textId="77777777" w:rsidTr="0059740C">
        <w:trPr>
          <w:trHeight w:val="60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ED146" w14:textId="5A67894C" w:rsidR="003859F1" w:rsidRPr="007C0D4C" w:rsidRDefault="003859F1" w:rsidP="00085C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6E4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532F" w14:textId="77777777" w:rsidR="003859F1" w:rsidRPr="007C0D4C" w:rsidRDefault="003859F1" w:rsidP="000920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5.6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E301" w14:textId="77777777" w:rsidR="003859F1" w:rsidRPr="007C0D4C" w:rsidRDefault="003859F1" w:rsidP="002C59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niên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684A" w14:textId="115D4D7F" w:rsidR="003859F1" w:rsidRPr="00C52880" w:rsidRDefault="003859F1" w:rsidP="002C59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0D14D" w14:textId="77777777" w:rsidR="003859F1" w:rsidRPr="007C0D4C" w:rsidRDefault="003859F1" w:rsidP="0028498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1646" w14:textId="77777777" w:rsidR="003859F1" w:rsidRPr="00432EB9" w:rsidRDefault="003859F1" w:rsidP="00B61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  <w:p w14:paraId="0497B724" w14:textId="13C53375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59F1" w:rsidRPr="007C0D4C" w14:paraId="7E8105C0" w14:textId="77777777" w:rsidTr="0059740C">
        <w:trPr>
          <w:trHeight w:val="48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8DB5" w14:textId="314106BB" w:rsidR="003859F1" w:rsidRPr="007C0D4C" w:rsidRDefault="003859F1" w:rsidP="00085C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6E45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038BD" w14:textId="77777777" w:rsidR="003859F1" w:rsidRPr="007C0D4C" w:rsidRDefault="003859F1" w:rsidP="000920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5.7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7849" w14:textId="77777777" w:rsidR="003859F1" w:rsidRPr="007C0D4C" w:rsidRDefault="003859F1" w:rsidP="002C59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Báo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phiên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niên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0D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6941" w14:textId="4372C133" w:rsidR="003859F1" w:rsidRPr="00C52880" w:rsidRDefault="003859F1" w:rsidP="002C59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EA932" w14:textId="77777777" w:rsidR="003859F1" w:rsidRPr="007C0D4C" w:rsidRDefault="003859F1" w:rsidP="00284987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Phòng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Xây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dựng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quyền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&amp; Công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tác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thanh</w:t>
            </w:r>
            <w:proofErr w:type="spellEnd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B5BC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BFBCF" w14:textId="77777777" w:rsidR="003859F1" w:rsidRPr="00432EB9" w:rsidRDefault="003859F1" w:rsidP="00B61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07B0A">
              <w:rPr>
                <w:rFonts w:ascii="Times New Roman" w:hAnsi="Times New Roman" w:cs="Times New Roman"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30/11</w:t>
            </w:r>
          </w:p>
          <w:p w14:paraId="3373DA0D" w14:textId="0F53C0B3" w:rsidR="003859F1" w:rsidRPr="007C0D4C" w:rsidRDefault="003859F1" w:rsidP="0009208E">
            <w:pPr>
              <w:widowControl w:val="0"/>
              <w:spacing w:after="0" w:line="240" w:lineRule="auto"/>
              <w:ind w:left="120" w:right="44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6C69F92" w14:textId="77777777" w:rsidR="00855BD5" w:rsidRPr="007C0D4C" w:rsidRDefault="00855BD5" w:rsidP="00753788">
      <w:pPr>
        <w:shd w:val="clear" w:color="auto" w:fill="FFFFFF"/>
        <w:spacing w:before="100" w:beforeAutospacing="1" w:after="0" w:line="240" w:lineRule="auto"/>
        <w:jc w:val="center"/>
        <w:rPr>
          <w:rFonts w:ascii="RobotoB" w:eastAsia="Times New Roman" w:hAnsi="RobotoB" w:cs="Times New Roman"/>
          <w:caps/>
          <w:color w:val="000000" w:themeColor="text1"/>
          <w:sz w:val="21"/>
          <w:szCs w:val="21"/>
        </w:rPr>
      </w:pPr>
    </w:p>
    <w:sectPr w:rsidR="00855BD5" w:rsidRPr="007C0D4C" w:rsidSect="00441683">
      <w:headerReference w:type="default" r:id="rId7"/>
      <w:pgSz w:w="16839" w:h="11907" w:orient="landscape" w:code="9"/>
      <w:pgMar w:top="709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FC1EF" w14:textId="77777777" w:rsidR="00D133DB" w:rsidRDefault="00D133DB" w:rsidP="00523719">
      <w:pPr>
        <w:spacing w:after="0" w:line="240" w:lineRule="auto"/>
      </w:pPr>
      <w:r>
        <w:separator/>
      </w:r>
    </w:p>
  </w:endnote>
  <w:endnote w:type="continuationSeparator" w:id="0">
    <w:p w14:paraId="765480E8" w14:textId="77777777" w:rsidR="00D133DB" w:rsidRDefault="00D133DB" w:rsidP="0052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EDA2" w14:textId="77777777" w:rsidR="00D133DB" w:rsidRDefault="00D133DB" w:rsidP="00523719">
      <w:pPr>
        <w:spacing w:after="0" w:line="240" w:lineRule="auto"/>
      </w:pPr>
      <w:r>
        <w:separator/>
      </w:r>
    </w:p>
  </w:footnote>
  <w:footnote w:type="continuationSeparator" w:id="0">
    <w:p w14:paraId="28D4E15A" w14:textId="77777777" w:rsidR="00D133DB" w:rsidRDefault="00D133DB" w:rsidP="0052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45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1F6099" w14:textId="77777777" w:rsidR="00523719" w:rsidRDefault="00523719">
        <w:pPr>
          <w:pStyle w:val="Header"/>
          <w:jc w:val="center"/>
        </w:pPr>
        <w:r w:rsidRPr="005237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37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37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6E3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237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2C996EF" w14:textId="77777777" w:rsidR="00523719" w:rsidRDefault="00523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A34A2"/>
    <w:multiLevelType w:val="hybridMultilevel"/>
    <w:tmpl w:val="844E45A4"/>
    <w:lvl w:ilvl="0" w:tplc="BBB82772">
      <w:numFmt w:val="bullet"/>
      <w:lvlText w:val="-"/>
      <w:lvlJc w:val="left"/>
      <w:pPr>
        <w:ind w:left="4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47E39E3"/>
    <w:multiLevelType w:val="multilevel"/>
    <w:tmpl w:val="CC40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34BEE"/>
    <w:multiLevelType w:val="hybridMultilevel"/>
    <w:tmpl w:val="74FA1CD4"/>
    <w:lvl w:ilvl="0" w:tplc="21A6644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26495">
    <w:abstractNumId w:val="1"/>
  </w:num>
  <w:num w:numId="2" w16cid:durableId="649793321">
    <w:abstractNumId w:val="0"/>
  </w:num>
  <w:num w:numId="3" w16cid:durableId="1956212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C2"/>
    <w:rsid w:val="00007378"/>
    <w:rsid w:val="00047742"/>
    <w:rsid w:val="00050086"/>
    <w:rsid w:val="0007401F"/>
    <w:rsid w:val="00085CA5"/>
    <w:rsid w:val="00104E18"/>
    <w:rsid w:val="001237AA"/>
    <w:rsid w:val="001402E5"/>
    <w:rsid w:val="001704BC"/>
    <w:rsid w:val="00181D20"/>
    <w:rsid w:val="0018450D"/>
    <w:rsid w:val="00184E35"/>
    <w:rsid w:val="001879CE"/>
    <w:rsid w:val="001A1102"/>
    <w:rsid w:val="001A40EA"/>
    <w:rsid w:val="001E579F"/>
    <w:rsid w:val="001E7ADC"/>
    <w:rsid w:val="001F3D47"/>
    <w:rsid w:val="00235904"/>
    <w:rsid w:val="0024010D"/>
    <w:rsid w:val="00284987"/>
    <w:rsid w:val="00285541"/>
    <w:rsid w:val="002B33D2"/>
    <w:rsid w:val="002C59B5"/>
    <w:rsid w:val="002F30E6"/>
    <w:rsid w:val="00343AFB"/>
    <w:rsid w:val="00343EBF"/>
    <w:rsid w:val="0035064E"/>
    <w:rsid w:val="0035229D"/>
    <w:rsid w:val="00365B32"/>
    <w:rsid w:val="003859F1"/>
    <w:rsid w:val="003C6AF5"/>
    <w:rsid w:val="003F5DB2"/>
    <w:rsid w:val="004034EC"/>
    <w:rsid w:val="00410AD2"/>
    <w:rsid w:val="00432EB9"/>
    <w:rsid w:val="00441683"/>
    <w:rsid w:val="004474B7"/>
    <w:rsid w:val="00485EE1"/>
    <w:rsid w:val="004B0767"/>
    <w:rsid w:val="004E66A1"/>
    <w:rsid w:val="00523719"/>
    <w:rsid w:val="005664CC"/>
    <w:rsid w:val="00585C78"/>
    <w:rsid w:val="0059740C"/>
    <w:rsid w:val="005A2921"/>
    <w:rsid w:val="005A3252"/>
    <w:rsid w:val="005A4CD2"/>
    <w:rsid w:val="005B035B"/>
    <w:rsid w:val="005F382C"/>
    <w:rsid w:val="005F3AD0"/>
    <w:rsid w:val="00613ADB"/>
    <w:rsid w:val="00632FC2"/>
    <w:rsid w:val="00656394"/>
    <w:rsid w:val="0069730C"/>
    <w:rsid w:val="006B5BC3"/>
    <w:rsid w:val="006E45E3"/>
    <w:rsid w:val="006F6B3F"/>
    <w:rsid w:val="006F74CA"/>
    <w:rsid w:val="00716772"/>
    <w:rsid w:val="00737727"/>
    <w:rsid w:val="00742DDD"/>
    <w:rsid w:val="00753788"/>
    <w:rsid w:val="00756E30"/>
    <w:rsid w:val="00762F0B"/>
    <w:rsid w:val="00791431"/>
    <w:rsid w:val="007A0637"/>
    <w:rsid w:val="007C0D4C"/>
    <w:rsid w:val="00855BD5"/>
    <w:rsid w:val="008A720A"/>
    <w:rsid w:val="008F4835"/>
    <w:rsid w:val="008F774E"/>
    <w:rsid w:val="00916B67"/>
    <w:rsid w:val="00971430"/>
    <w:rsid w:val="009842DB"/>
    <w:rsid w:val="009A4EC2"/>
    <w:rsid w:val="009E5FBD"/>
    <w:rsid w:val="009E75D1"/>
    <w:rsid w:val="009F283B"/>
    <w:rsid w:val="00A07B0A"/>
    <w:rsid w:val="00A25B3C"/>
    <w:rsid w:val="00A974C7"/>
    <w:rsid w:val="00AA1AC8"/>
    <w:rsid w:val="00AA1DA2"/>
    <w:rsid w:val="00AA71E8"/>
    <w:rsid w:val="00AE133D"/>
    <w:rsid w:val="00AF69AE"/>
    <w:rsid w:val="00B0128A"/>
    <w:rsid w:val="00B018B3"/>
    <w:rsid w:val="00B01DB6"/>
    <w:rsid w:val="00B03AA4"/>
    <w:rsid w:val="00B20999"/>
    <w:rsid w:val="00B309FD"/>
    <w:rsid w:val="00B945A8"/>
    <w:rsid w:val="00B97D0D"/>
    <w:rsid w:val="00BB1321"/>
    <w:rsid w:val="00BE4BD8"/>
    <w:rsid w:val="00BF0278"/>
    <w:rsid w:val="00BF1417"/>
    <w:rsid w:val="00C31F63"/>
    <w:rsid w:val="00C44EDF"/>
    <w:rsid w:val="00C52880"/>
    <w:rsid w:val="00C57D08"/>
    <w:rsid w:val="00C8552B"/>
    <w:rsid w:val="00CA6379"/>
    <w:rsid w:val="00CB3476"/>
    <w:rsid w:val="00CD1E95"/>
    <w:rsid w:val="00CF2A39"/>
    <w:rsid w:val="00D133DB"/>
    <w:rsid w:val="00D41AD5"/>
    <w:rsid w:val="00D51D9C"/>
    <w:rsid w:val="00D52919"/>
    <w:rsid w:val="00DD0307"/>
    <w:rsid w:val="00DD1DB9"/>
    <w:rsid w:val="00DF62DC"/>
    <w:rsid w:val="00E34947"/>
    <w:rsid w:val="00E61451"/>
    <w:rsid w:val="00E854FD"/>
    <w:rsid w:val="00EA327E"/>
    <w:rsid w:val="00EA7B85"/>
    <w:rsid w:val="00ED329F"/>
    <w:rsid w:val="00EE3AED"/>
    <w:rsid w:val="00F176AF"/>
    <w:rsid w:val="00F416CD"/>
    <w:rsid w:val="00F53502"/>
    <w:rsid w:val="00F53AD4"/>
    <w:rsid w:val="00F7378B"/>
    <w:rsid w:val="00F74639"/>
    <w:rsid w:val="00F85354"/>
    <w:rsid w:val="00F95CD7"/>
    <w:rsid w:val="00FA41B8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5CB0"/>
  <w15:docId w15:val="{A85A632B-3C35-4BB2-A7D6-D24BD2C5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6B67"/>
    <w:rPr>
      <w:color w:val="0000FF"/>
      <w:u w:val="single"/>
    </w:rPr>
  </w:style>
  <w:style w:type="character" w:customStyle="1" w:styleId="d-none">
    <w:name w:val="d-none"/>
    <w:basedOn w:val="DefaultParagraphFont"/>
    <w:rsid w:val="00916B67"/>
  </w:style>
  <w:style w:type="paragraph" w:customStyle="1" w:styleId="fwb">
    <w:name w:val="fwb"/>
    <w:basedOn w:val="Normal"/>
    <w:rsid w:val="0091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c">
    <w:name w:val="tac"/>
    <w:basedOn w:val="Normal"/>
    <w:rsid w:val="0091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719"/>
  </w:style>
  <w:style w:type="paragraph" w:styleId="Footer">
    <w:name w:val="footer"/>
    <w:basedOn w:val="Normal"/>
    <w:link w:val="FooterChar"/>
    <w:uiPriority w:val="99"/>
    <w:unhideWhenUsed/>
    <w:rsid w:val="0052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719"/>
  </w:style>
  <w:style w:type="paragraph" w:styleId="ListParagraph">
    <w:name w:val="List Paragraph"/>
    <w:basedOn w:val="Normal"/>
    <w:uiPriority w:val="34"/>
    <w:qFormat/>
    <w:rsid w:val="0043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09480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1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29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458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9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709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341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9199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107</cp:revision>
  <cp:lastPrinted>2023-11-21T01:49:00Z</cp:lastPrinted>
  <dcterms:created xsi:type="dcterms:W3CDTF">2023-11-14T02:43:00Z</dcterms:created>
  <dcterms:modified xsi:type="dcterms:W3CDTF">2024-11-25T03:14:00Z</dcterms:modified>
</cp:coreProperties>
</file>